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Web"/>
        <w:pBdr>
          <w:top w:val="single" w:sz="4" w:space="1" w:color="000001" w:shadow="1"/>
          <w:left w:val="single" w:sz="4" w:space="4" w:color="000001" w:shadow="1"/>
          <w:bottom w:val="single" w:sz="4" w:space="1" w:color="000001" w:shadow="1"/>
          <w:right w:val="single" w:sz="4" w:space="14" w:color="000001" w:shadow="1"/>
        </w:pBdr>
        <w:spacing w:before="0" w:after="0"/>
        <w:ind w:left="360" w:hanging="0"/>
        <w:jc w:val="center"/>
        <w:rPr/>
      </w:pPr>
      <w:r>
        <w:rPr>
          <w:b/>
          <w:color w:val="0000FF"/>
          <w:szCs w:val="24"/>
        </w:rPr>
        <w:t>Scheda per la progettazione di dettaglio dei Servizi</w:t>
      </w:r>
    </w:p>
    <w:p>
      <w:pPr>
        <w:pStyle w:val="NormalWeb"/>
        <w:pBdr>
          <w:top w:val="single" w:sz="4" w:space="1" w:color="000001" w:shadow="1"/>
          <w:left w:val="single" w:sz="4" w:space="4" w:color="000001" w:shadow="1"/>
          <w:bottom w:val="single" w:sz="4" w:space="1" w:color="000001" w:shadow="1"/>
          <w:right w:val="single" w:sz="4" w:space="14" w:color="000001" w:shadow="1"/>
        </w:pBdr>
        <w:spacing w:before="0" w:after="0"/>
        <w:ind w:left="360" w:hanging="0"/>
        <w:jc w:val="center"/>
        <w:rPr/>
      </w:pPr>
      <w:r>
        <w:rPr>
          <w:b/>
          <w:color w:val="0000FF"/>
          <w:szCs w:val="24"/>
        </w:rPr>
        <w:t>TITOLO: Percorsi di inclusione socio-lavorativa</w:t>
      </w:r>
    </w:p>
    <w:p>
      <w:pPr>
        <w:pStyle w:val="NormalWeb"/>
        <w:pBdr>
          <w:top w:val="single" w:sz="4" w:space="1" w:color="000001" w:shadow="1"/>
          <w:left w:val="single" w:sz="4" w:space="4" w:color="000001" w:shadow="1"/>
          <w:bottom w:val="single" w:sz="4" w:space="1" w:color="000001" w:shadow="1"/>
          <w:right w:val="single" w:sz="4" w:space="14" w:color="000001" w:shadow="1"/>
        </w:pBdr>
        <w:spacing w:before="0" w:after="0"/>
        <w:ind w:left="360" w:hanging="0"/>
        <w:jc w:val="center"/>
        <w:rPr/>
      </w:pPr>
      <w:r>
        <w:rPr>
          <w:b/>
          <w:color w:val="0000FF"/>
          <w:szCs w:val="24"/>
        </w:rPr>
        <w:t>Contrasto alla povertà e promozione dell’inclusione sociale – Equipe Multidisciplinare per i servizi di presa in carico dei beneficiari REI e ReD 2.0</w:t>
      </w:r>
    </w:p>
    <w:p>
      <w:pPr>
        <w:pStyle w:val="Normal"/>
        <w:suppressAutoHyphens w:val="false"/>
        <w:spacing w:before="2" w:after="0"/>
        <w:rPr>
          <w:rFonts w:cs="Times"/>
          <w:b/>
          <w:b/>
          <w:color w:val="0000FF"/>
          <w:lang w:eastAsia="it-IT"/>
        </w:rPr>
      </w:pPr>
      <w:r>
        <w:rPr>
          <w:rFonts w:cs="Times"/>
          <w:b/>
          <w:color w:val="0000FF"/>
          <w:lang w:eastAsia="it-IT"/>
        </w:rPr>
      </w:r>
    </w:p>
    <w:p>
      <w:pPr>
        <w:pStyle w:val="Normal"/>
        <w:jc w:val="both"/>
        <w:rPr>
          <w:rFonts w:ascii="Times" w:hAnsi="Times" w:cs="Times"/>
          <w:b/>
          <w:b/>
          <w:color w:val="0000FF"/>
          <w:sz w:val="20"/>
          <w:szCs w:val="20"/>
          <w:lang w:eastAsia="it-IT"/>
        </w:rPr>
      </w:pPr>
      <w:r>
        <w:rPr>
          <w:rFonts w:cs="Times" w:ascii="Times" w:hAnsi="Times"/>
          <w:b/>
          <w:color w:val="0000FF"/>
          <w:sz w:val="20"/>
          <w:szCs w:val="20"/>
          <w:lang w:eastAsia="it-IT"/>
        </w:rPr>
      </w:r>
    </w:p>
    <w:p>
      <w:pPr>
        <w:pStyle w:val="Pidipagina"/>
        <w:spacing w:before="120" w:after="0"/>
        <w:ind w:left="360" w:hanging="360"/>
        <w:rPr/>
      </w:pPr>
      <w:r>
        <w:rPr>
          <w:b/>
        </w:rPr>
        <w:t xml:space="preserve">Annualità: </w:t>
      </w:r>
      <w:r>
        <w:rPr>
          <w:rFonts w:eastAsia="Wingdings" w:cs="Wingdings" w:ascii="Wingdings" w:hAnsi="Wingdings"/>
          <w:bCs/>
        </w:rPr>
        <w:t></w:t>
      </w:r>
      <w:r>
        <w:rPr>
          <w:rFonts w:eastAsia="Wingdings" w:cs="Wingdings"/>
          <w:bCs/>
        </w:rPr>
        <w:t xml:space="preserve"> </w:t>
      </w:r>
      <w:r>
        <w:rPr>
          <w:rFonts w:eastAsia="Wingdings" w:cs="Wingdings"/>
          <w:b/>
        </w:rPr>
        <w:t>2</w:t>
      </w:r>
      <w:r>
        <w:rPr>
          <w:rFonts w:eastAsia="Wingdings" w:cs="Wingdings"/>
          <w:b/>
          <w:bCs/>
          <w:lang w:val="de-DE"/>
        </w:rPr>
        <w:t xml:space="preserve">018 </w:t>
      </w:r>
      <w:r>
        <w:rPr>
          <w:rFonts w:eastAsia="Wingdings" w:cs="Wingdings" w:ascii="Wingdings" w:hAnsi="Wingdings"/>
          <w:b/>
          <w:bCs/>
          <w:lang w:val="de-DE"/>
        </w:rPr>
        <w:t></w:t>
      </w:r>
      <w:r>
        <w:rPr>
          <w:rFonts w:eastAsia="Wingdings" w:cs="Wingdings"/>
          <w:b/>
          <w:bCs/>
          <w:lang w:val="de-DE"/>
        </w:rPr>
        <w:t xml:space="preserve">2019 </w:t>
      </w:r>
      <w:r>
        <w:rPr>
          <w:rFonts w:eastAsia="Wingdings" w:cs="Wingdings" w:ascii="Wingdings" w:hAnsi="Wingdings"/>
        </w:rPr>
        <w:t></w:t>
      </w:r>
      <w:r>
        <w:rPr>
          <w:rFonts w:eastAsia="Wingdings" w:cs="Wingdings" w:ascii="Wingdings" w:hAnsi="Wingdings"/>
          <w:b/>
          <w:bCs/>
        </w:rPr>
        <w:t></w:t>
      </w:r>
      <w:r>
        <w:rPr>
          <w:rFonts w:eastAsia="Wingdings" w:cs="Wingdings"/>
          <w:b/>
          <w:bCs/>
          <w:lang w:val="de-DE"/>
        </w:rPr>
        <w:t xml:space="preserve">2020 </w:t>
      </w:r>
      <w:r>
        <w:rPr>
          <w:rFonts w:eastAsia="Wingdings" w:cs="Wingdings"/>
          <w:b/>
          <w:bCs/>
        </w:rPr>
        <w:tab/>
        <w:tab/>
      </w:r>
    </w:p>
    <w:p>
      <w:pPr>
        <w:pStyle w:val="Pidipagina"/>
        <w:spacing w:before="120" w:after="0"/>
        <w:ind w:left="360" w:hanging="360"/>
        <w:rPr>
          <w:rFonts w:eastAsia="Wingdings" w:cs="Wingdings"/>
          <w:b/>
          <w:b/>
          <w:bCs/>
          <w:lang w:val="de-DE"/>
        </w:rPr>
      </w:pPr>
      <w:r>
        <w:rPr>
          <w:rFonts w:eastAsia="Wingdings" w:cs="Wingdings"/>
          <w:b/>
          <w:bCs/>
          <w:lang w:val="de-DE"/>
        </w:rPr>
      </w:r>
    </w:p>
    <w:p>
      <w:pPr>
        <w:pStyle w:val="Pidipagina"/>
        <w:spacing w:before="120" w:after="0"/>
        <w:ind w:left="360" w:hanging="360"/>
        <w:rPr/>
      </w:pPr>
      <w:r>
        <w:rPr>
          <w:rFonts w:eastAsia="Wingdings" w:cs="Wingdings"/>
          <w:b/>
        </w:rPr>
        <w:t>AMBITO  DI  BARI</w:t>
        <w:tab/>
      </w:r>
    </w:p>
    <w:p>
      <w:pPr>
        <w:pStyle w:val="Pidipagina"/>
        <w:spacing w:before="120" w:after="0"/>
        <w:ind w:left="360" w:hanging="360"/>
        <w:rPr/>
      </w:pPr>
      <w:r>
        <w:rPr>
          <w:rFonts w:eastAsia="Wingdings" w:cs="Wingdings"/>
          <w:b/>
          <w:bCs/>
        </w:rPr>
        <w:t>PROVINCIA  DI    BARI</w:t>
        <w:tab/>
      </w:r>
    </w:p>
    <w:p>
      <w:pPr>
        <w:pStyle w:val="Corpodeltesto31"/>
        <w:spacing w:lineRule="auto" w:line="240"/>
        <w:rPr>
          <w:rFonts w:eastAsia="Wingdings" w:cs="Wingdings"/>
          <w:b w:val="false"/>
          <w:b w:val="false"/>
          <w:bCs w:val="false"/>
          <w:i/>
          <w:i/>
          <w:sz w:val="24"/>
          <w:u w:val="single"/>
        </w:rPr>
      </w:pPr>
      <w:r>
        <w:rPr>
          <w:rFonts w:eastAsia="Wingdings" w:cs="Wingdings"/>
          <w:b w:val="false"/>
          <w:bCs w:val="false"/>
          <w:i/>
          <w:sz w:val="24"/>
          <w:u w:val="single"/>
        </w:rPr>
      </w:r>
    </w:p>
    <w:p>
      <w:pPr>
        <w:pStyle w:val="Corpodeltesto31"/>
        <w:spacing w:lineRule="auto" w:line="240"/>
        <w:rPr>
          <w:rFonts w:eastAsia="Wingdings" w:cs="Wingdings"/>
          <w:b w:val="false"/>
          <w:b w:val="false"/>
          <w:bCs w:val="false"/>
          <w:i/>
          <w:i/>
          <w:sz w:val="24"/>
          <w:u w:val="single"/>
        </w:rPr>
      </w:pPr>
      <w:r>
        <w:rPr>
          <w:rFonts w:eastAsia="Wingdings" w:cs="Wingdings"/>
          <w:b w:val="false"/>
          <w:bCs w:val="false"/>
          <w:i/>
          <w:sz w:val="24"/>
          <w:u w:val="single"/>
        </w:rPr>
      </w:r>
    </w:p>
    <w:p>
      <w:pPr>
        <w:pStyle w:val="Normal"/>
        <w:pBdr>
          <w:top w:val="single" w:sz="4" w:space="1" w:color="000001"/>
          <w:left w:val="single" w:sz="4" w:space="4" w:color="000001"/>
          <w:bottom w:val="single" w:sz="4" w:space="1" w:color="000001"/>
          <w:right w:val="single" w:sz="4" w:space="4" w:color="000001"/>
        </w:pBdr>
        <w:rPr/>
      </w:pPr>
      <w:r>
        <w:rPr>
          <w:rFonts w:eastAsia="Wingdings" w:cs="Wingdings"/>
          <w:b/>
        </w:rPr>
        <w:t>Informazioni generali</w:t>
      </w:r>
    </w:p>
    <w:p>
      <w:pPr>
        <w:pStyle w:val="Normal"/>
        <w:rPr>
          <w:rFonts w:eastAsia="Wingdings" w:cs="Wingdings"/>
          <w:b/>
          <w:b/>
        </w:rPr>
      </w:pPr>
      <w:r>
        <w:rPr>
          <w:rFonts w:eastAsia="Wingdings" w:cs="Wingdings"/>
          <w:b/>
        </w:rPr>
      </w:r>
    </w:p>
    <w:p>
      <w:pPr>
        <w:pStyle w:val="Normal"/>
        <w:rPr/>
      </w:pPr>
      <w:r>
        <w:rPr>
          <w:rFonts w:eastAsia="Wingdings" w:cs="Wingdings"/>
          <w:b/>
          <w:bCs/>
        </w:rPr>
        <w:t xml:space="preserve">Valenza territoriale: </w:t>
        <w:tab/>
      </w:r>
      <w:r>
        <w:rPr>
          <w:rFonts w:eastAsia="Wingdings" w:cs="Wingdings" w:ascii="Wingdings" w:hAnsi="Wingdings"/>
          <w:b/>
          <w:bCs/>
        </w:rPr>
        <w:t></w:t>
      </w:r>
      <w:r>
        <w:rPr>
          <w:rFonts w:eastAsia="Wingdings" w:cs="Wingdings"/>
          <w:bCs/>
        </w:rPr>
        <w:t xml:space="preserve"> ambito</w:t>
        <w:tab/>
      </w:r>
      <w:r>
        <w:rPr>
          <w:rFonts w:eastAsia="Wingdings" w:cs="Wingdings" w:ascii="Wingdings" w:hAnsi="Wingdings"/>
          <w:bCs/>
        </w:rPr>
        <w:t></w:t>
      </w:r>
      <w:r>
        <w:rPr>
          <w:rFonts w:eastAsia="Wingdings" w:cs="Wingdings"/>
          <w:bCs/>
        </w:rPr>
        <w:t>comunale</w:t>
      </w:r>
      <w:r>
        <w:rPr>
          <w:rFonts w:eastAsia="Wingdings" w:cs="Wingdings"/>
          <w:b/>
          <w:bCs/>
        </w:rPr>
        <w:t xml:space="preserve"> </w:t>
      </w:r>
    </w:p>
    <w:p>
      <w:pPr>
        <w:pStyle w:val="Normal"/>
        <w:rPr>
          <w:rFonts w:eastAsia="Wingdings" w:cs="Wingdings"/>
          <w:b/>
          <w:b/>
          <w:bCs/>
        </w:rPr>
      </w:pPr>
      <w:r>
        <w:rPr>
          <w:rFonts w:eastAsia="Wingdings" w:cs="Wingdings"/>
          <w:b/>
          <w:bCs/>
        </w:rPr>
      </w:r>
    </w:p>
    <w:p>
      <w:pPr>
        <w:pStyle w:val="Normal"/>
        <w:rPr/>
      </w:pPr>
      <w:r>
        <w:rPr>
          <w:rFonts w:eastAsia="Wingdings" w:cs="Wingdings"/>
          <w:b/>
          <w:bCs/>
        </w:rPr>
        <w:t xml:space="preserve">Obiettivo di servizio: </w:t>
        <w:tab/>
      </w:r>
      <w:r>
        <w:rPr>
          <w:rFonts w:eastAsia="Wingdings" w:cs="Wingdings" w:ascii="Wingdings" w:hAnsi="Wingdings"/>
          <w:b/>
          <w:bCs/>
        </w:rPr>
        <w:t></w:t>
      </w:r>
      <w:r>
        <w:rPr>
          <w:rFonts w:eastAsia="Wingdings" w:cs="Wingdings"/>
          <w:bCs/>
        </w:rPr>
        <w:t xml:space="preserve">SI       </w:t>
        <w:tab/>
        <w:t xml:space="preserve"> NO</w:t>
      </w:r>
      <w:r>
        <w:rPr>
          <w:rFonts w:eastAsia="Wingdings" w:cs="Wingdings"/>
          <w:b/>
          <w:bCs/>
        </w:rPr>
        <w:t xml:space="preserve"> </w:t>
      </w:r>
    </w:p>
    <w:p>
      <w:pPr>
        <w:pStyle w:val="Normal"/>
        <w:rPr/>
      </w:pPr>
      <w:r>
        <w:rPr>
          <w:rFonts w:eastAsia="Wingdings" w:cs="Wingdings"/>
          <w:i/>
        </w:rPr>
        <w:t>(cfr. Piano Regionale Politiche Sociali 2017-2020 – DGR 2324/2017)</w:t>
      </w:r>
    </w:p>
    <w:p>
      <w:pPr>
        <w:pStyle w:val="Normal"/>
        <w:rPr>
          <w:rFonts w:eastAsia="Wingdings" w:cs="Wingdings"/>
          <w:i/>
          <w:i/>
          <w:highlight w:val="red"/>
        </w:rPr>
      </w:pPr>
      <w:r>
        <w:rPr>
          <w:rFonts w:eastAsia="Wingdings" w:cs="Wingdings"/>
          <w:i/>
          <w:highlight w:val="red"/>
        </w:rPr>
      </w:r>
    </w:p>
    <w:p>
      <w:pPr>
        <w:pStyle w:val="Normal"/>
        <w:rPr/>
      </w:pPr>
      <w:r>
        <w:rPr>
          <w:rFonts w:eastAsia="Wingdings" w:cs="Wingdings"/>
          <w:b/>
        </w:rPr>
        <w:t xml:space="preserve">Numero progressivo: </w:t>
        <w:tab/>
        <w:t>07_25</w:t>
      </w:r>
    </w:p>
    <w:p>
      <w:pPr>
        <w:pStyle w:val="Normal"/>
        <w:rPr/>
      </w:pPr>
      <w:r>
        <w:rPr>
          <w:rFonts w:eastAsia="Wingdings" w:cs="Wingdings"/>
          <w:i/>
        </w:rPr>
        <w:t>(coerente con la numerazione delle schede finanziarie)</w:t>
      </w:r>
    </w:p>
    <w:p>
      <w:pPr>
        <w:pStyle w:val="Normal"/>
        <w:rPr>
          <w:rFonts w:eastAsia="Wingdings" w:cs="Wingdings"/>
          <w:b/>
          <w:b/>
          <w:i/>
          <w:i/>
        </w:rPr>
      </w:pPr>
      <w:r>
        <w:rPr>
          <w:rFonts w:eastAsia="Wingdings" w:cs="Wingdings"/>
          <w:b/>
          <w:i/>
        </w:rPr>
      </w:r>
    </w:p>
    <w:p>
      <w:pPr>
        <w:pStyle w:val="Normal"/>
        <w:suppressAutoHyphens w:val="false"/>
        <w:spacing w:before="2" w:after="0"/>
        <w:rPr>
          <w:rFonts w:eastAsia="Wingdings" w:cs="Wingdings"/>
          <w:b/>
          <w:b/>
          <w:color w:val="000000"/>
        </w:rPr>
      </w:pPr>
      <w:r>
        <w:rPr>
          <w:rFonts w:eastAsia="Wingdings" w:cs="Wingdings"/>
          <w:b/>
        </w:rPr>
        <w:t xml:space="preserve">Denominazione servizio/intervento: </w:t>
      </w:r>
      <w:r>
        <w:rPr>
          <w:rFonts w:eastAsia="Wingdings" w:cs="Wingdings"/>
          <w:b w:val="false"/>
          <w:bCs w:val="false"/>
        </w:rPr>
        <w:t xml:space="preserve"> </w:t>
      </w:r>
      <w:r>
        <w:rPr>
          <w:rFonts w:eastAsia="Wingdings" w:cs="Wingdings"/>
          <w:b w:val="false"/>
          <w:bCs w:val="false"/>
          <w:color w:val="000000"/>
        </w:rPr>
        <w:t>Contrasto alla povertà e promozione dell’inclusione sociale – Equipe Multidisciplinare per i servizi di presa in carico dei beneficiari REI e RED 2.0</w:t>
      </w:r>
    </w:p>
    <w:p>
      <w:pPr>
        <w:pStyle w:val="Normal"/>
        <w:jc w:val="both"/>
        <w:rPr>
          <w:rFonts w:ascii="Calibri" w:hAnsi="Calibri" w:eastAsia="Wingdings" w:cs="Calibri"/>
          <w:b/>
          <w:b/>
          <w:bCs/>
          <w:color w:val="000000"/>
          <w:szCs w:val="20"/>
          <w:lang w:eastAsia="it-IT"/>
        </w:rPr>
      </w:pPr>
      <w:r>
        <w:rPr>
          <w:rFonts w:eastAsia="Wingdings" w:cs="Calibri" w:ascii="Calibri" w:hAnsi="Calibri"/>
          <w:b/>
          <w:bCs/>
          <w:color w:val="000000"/>
          <w:szCs w:val="20"/>
          <w:lang w:eastAsia="it-IT"/>
        </w:rPr>
      </w:r>
    </w:p>
    <w:p>
      <w:pPr>
        <w:pStyle w:val="Normal"/>
        <w:jc w:val="both"/>
        <w:rPr/>
      </w:pPr>
      <w:r>
        <w:rPr>
          <w:rFonts w:eastAsia="Wingdings" w:cs="Wingdings"/>
          <w:b/>
        </w:rPr>
        <w:t xml:space="preserve">Art. del r.r. 4/2007: </w:t>
      </w:r>
      <w:r>
        <w:rPr>
          <w:rFonts w:eastAsia="Wingdings" w:cs="Wingdings"/>
          <w:b/>
          <w:color w:val="000000"/>
        </w:rPr>
        <w:tab/>
      </w:r>
      <w:r>
        <w:rPr>
          <w:rFonts w:eastAsia="Wingdings" w:cs="Wingdings"/>
          <w:b/>
        </w:rPr>
        <w:t>102</w:t>
      </w:r>
    </w:p>
    <w:p>
      <w:pPr>
        <w:pStyle w:val="Normal"/>
        <w:jc w:val="both"/>
        <w:rPr>
          <w:rFonts w:eastAsia="Wingdings" w:cs="Wingdings"/>
          <w:highlight w:val="yellow"/>
        </w:rPr>
      </w:pPr>
      <w:r>
        <w:rPr>
          <w:rFonts w:eastAsia="Wingdings" w:cs="Wingdings"/>
          <w:highlight w:val="yellow"/>
        </w:rPr>
      </w:r>
    </w:p>
    <w:p>
      <w:pPr>
        <w:pStyle w:val="Normal"/>
        <w:jc w:val="both"/>
        <w:rPr/>
      </w:pPr>
      <w:r>
        <w:rPr>
          <w:rFonts w:eastAsia="Wingdings" w:cs="Wingdings"/>
          <w:b/>
        </w:rPr>
        <w:t>Importo totale programmato:</w:t>
        <w:tab/>
        <w:t xml:space="preserve">€ 3.089.690,00 </w:t>
      </w:r>
      <w:r>
        <w:rPr>
          <w:rFonts w:eastAsia="Wingdings" w:cs="Wingdings"/>
          <w:b w:val="false"/>
          <w:bCs w:val="false"/>
        </w:rPr>
        <w:t>(Risorse PON Inclusione)</w:t>
      </w:r>
    </w:p>
    <w:p>
      <w:pPr>
        <w:pStyle w:val="Normal"/>
        <w:jc w:val="both"/>
        <w:rPr>
          <w:rFonts w:eastAsia="Wingdings" w:cs="Wingdings"/>
          <w:b/>
          <w:b/>
          <w:highlight w:val="red"/>
        </w:rPr>
      </w:pPr>
      <w:r>
        <w:rPr>
          <w:rFonts w:eastAsia="Wingdings" w:cs="Wingdings"/>
          <w:b/>
          <w:highlight w:val="red"/>
        </w:rPr>
      </w:r>
    </w:p>
    <w:p>
      <w:pPr>
        <w:pStyle w:val="Normal"/>
        <w:ind w:left="709" w:hanging="709"/>
        <w:rPr/>
      </w:pPr>
      <w:r>
        <w:rPr>
          <w:rFonts w:eastAsia="Wingdings" w:cs="Wingdings"/>
          <w:b/>
        </w:rPr>
        <w:t xml:space="preserve">Modalità di gestione del servizio </w:t>
      </w:r>
      <w:r>
        <w:rPr>
          <w:rFonts w:eastAsia="Wingdings" w:cs="Wingdings"/>
          <w:i/>
        </w:rPr>
        <w:t>(in coerenza con quanto indicato nelle schede finanziarie)</w:t>
      </w:r>
    </w:p>
    <w:p>
      <w:pPr>
        <w:pStyle w:val="Rientrocorpodeltesto21"/>
        <w:spacing w:lineRule="auto" w:line="240"/>
        <w:ind w:hanging="0"/>
        <w:rPr/>
      </w:pPr>
      <w:r>
        <w:rPr>
          <w:rFonts w:eastAsia="Wingdings" w:cs="Wingdings" w:ascii="Wingdings" w:hAnsi="Wingdings"/>
        </w:rPr>
        <w:t></w:t>
      </w:r>
      <w:r>
        <w:rPr>
          <w:rFonts w:eastAsia="Wingdings" w:cs="Wingdings" w:ascii="Wingdings" w:hAnsi="Wingdings"/>
          <w:b/>
          <w:bCs/>
        </w:rPr>
        <w:t></w:t>
      </w:r>
      <w:r>
        <w:rPr>
          <w:rFonts w:eastAsia="Wingdings" w:cs="Wingdings"/>
        </w:rPr>
        <w:t>gestione in economia</w:t>
        <w:tab/>
        <w:tab/>
        <w:tab/>
      </w:r>
      <w:r>
        <w:rPr>
          <w:rFonts w:eastAsia="Wingdings" w:cs="Wingdings" w:ascii="Wingdings" w:hAnsi="Wingdings"/>
        </w:rPr>
        <w:t></w:t>
      </w:r>
      <w:r>
        <w:rPr>
          <w:rFonts w:eastAsia="Wingdings" w:cs="Wingdings"/>
        </w:rPr>
        <w:t xml:space="preserve"> gestione diretta con affidamento a terzi </w:t>
      </w:r>
    </w:p>
    <w:p>
      <w:pPr>
        <w:pStyle w:val="Rientrocorpodeltesto21"/>
        <w:spacing w:lineRule="auto" w:line="240"/>
        <w:ind w:hanging="0"/>
        <w:jc w:val="left"/>
        <w:rPr/>
      </w:pPr>
      <w:r>
        <w:rPr>
          <w:rFonts w:eastAsia="Wingdings" w:cs="Wingdings" w:ascii="Wingdings" w:hAnsi="Wingdings"/>
          <w:b/>
          <w:bCs/>
          <w:lang w:val="de-DE"/>
        </w:rPr>
        <w:t></w:t>
      </w:r>
      <w:r>
        <w:rPr/>
        <w:t xml:space="preserve"> </w:t>
      </w:r>
      <w:r>
        <w:rPr>
          <w:rFonts w:eastAsia="Wingdings" w:cs="Wingdings"/>
        </w:rPr>
        <w:t xml:space="preserve">altra modalità di gestione </w:t>
      </w:r>
      <w:r>
        <w:rPr>
          <w:rFonts w:eastAsia="Wingdings" w:cs="Wingdings"/>
          <w:i/>
        </w:rPr>
        <w:t>(Gestione mista)</w:t>
      </w:r>
    </w:p>
    <w:p>
      <w:pPr>
        <w:pStyle w:val="Normal"/>
        <w:jc w:val="both"/>
        <w:rPr>
          <w:rFonts w:eastAsia="Wingdings" w:cs="Wingdings"/>
          <w:b/>
          <w:b/>
          <w:i/>
          <w:i/>
        </w:rPr>
      </w:pPr>
      <w:r>
        <w:rPr>
          <w:rFonts w:eastAsia="Wingdings" w:cs="Wingdings"/>
          <w:b/>
          <w:i/>
        </w:rPr>
      </w:r>
    </w:p>
    <w:p>
      <w:pPr>
        <w:pStyle w:val="Normal"/>
        <w:jc w:val="both"/>
        <w:rPr/>
      </w:pPr>
      <w:r>
        <w:rPr>
          <w:rFonts w:eastAsia="Wingdings" w:cs="Wingdings"/>
          <w:b/>
        </w:rPr>
        <w:t xml:space="preserve">Tipologia di utenti: </w:t>
      </w:r>
      <w:r>
        <w:rPr>
          <w:rFonts w:eastAsia="Wingdings" w:cs="Wingdings"/>
          <w:b w:val="false"/>
          <w:bCs w:val="false"/>
        </w:rPr>
        <w:t>utenti maggiorenni beneficiari del REI e monitorati nell’ambito di percorsi di presa in carico ed attivazione</w:t>
      </w:r>
    </w:p>
    <w:p>
      <w:pPr>
        <w:pStyle w:val="Normal"/>
        <w:jc w:val="both"/>
        <w:rPr>
          <w:rFonts w:eastAsia="Wingdings" w:cs="Wingdings"/>
          <w:b/>
          <w:b/>
        </w:rPr>
      </w:pPr>
      <w:r>
        <w:rPr>
          <w:rFonts w:eastAsia="Wingdings" w:cs="Wingdings"/>
          <w:b/>
        </w:rPr>
      </w:r>
    </w:p>
    <w:p>
      <w:pPr>
        <w:pStyle w:val="Normal"/>
        <w:jc w:val="both"/>
        <w:rPr/>
      </w:pPr>
      <w:r>
        <w:rPr>
          <w:rFonts w:eastAsia="Wingdings" w:cs="Wingdings"/>
          <w:b/>
        </w:rPr>
        <w:t>N° medio annuo previsto di utenti: 2.500</w:t>
      </w:r>
    </w:p>
    <w:p>
      <w:pPr>
        <w:pStyle w:val="Normal"/>
        <w:jc w:val="both"/>
        <w:rPr>
          <w:rFonts w:eastAsia="Wingdings" w:cs="Wingdings"/>
          <w:b/>
          <w:b/>
          <w:i/>
          <w:i/>
          <w:highlight w:val="yellow"/>
        </w:rPr>
      </w:pPr>
      <w:r>
        <w:rPr>
          <w:rFonts w:eastAsia="Wingdings" w:cs="Wingdings"/>
          <w:b/>
          <w:i/>
          <w:highlight w:val="yellow"/>
        </w:rPr>
      </w:r>
    </w:p>
    <w:p>
      <w:pPr>
        <w:pStyle w:val="Normal"/>
        <w:jc w:val="both"/>
        <w:rPr>
          <w:rFonts w:eastAsia="Wingdings" w:cs="Wingdings"/>
          <w:b/>
          <w:b/>
          <w:i/>
          <w:i/>
          <w:highlight w:val="yellow"/>
        </w:rPr>
      </w:pPr>
      <w:r>
        <w:rPr>
          <w:rFonts w:eastAsia="Wingdings" w:cs="Wingdings"/>
          <w:b/>
          <w:i/>
          <w:highlight w:val="yellow"/>
        </w:rPr>
      </w:r>
    </w:p>
    <w:p>
      <w:pPr>
        <w:pStyle w:val="Normal"/>
        <w:pBdr>
          <w:top w:val="single" w:sz="4" w:space="1" w:color="000001"/>
          <w:left w:val="single" w:sz="4" w:space="4" w:color="000001"/>
          <w:bottom w:val="single" w:sz="4" w:space="1" w:color="000001"/>
          <w:right w:val="single" w:sz="4" w:space="4" w:color="000001"/>
        </w:pBdr>
        <w:rPr/>
      </w:pPr>
      <w:r>
        <w:rPr>
          <w:rFonts w:eastAsia="Wingdings" w:cs="Wingdings"/>
          <w:b/>
        </w:rPr>
        <w:t xml:space="preserve">Descrizione generale in termini di obiettivi, tipologia di prestazioni/attività e risultati attesi </w:t>
      </w:r>
      <w:r>
        <w:rPr>
          <w:rFonts w:eastAsia="Wingdings" w:cs="Wingdings"/>
          <w:i/>
        </w:rPr>
        <w:t>(anche con indicatori numerici per tipologia di beneficiari e prestazioni)</w:t>
      </w:r>
    </w:p>
    <w:p>
      <w:pPr>
        <w:pStyle w:val="Normal"/>
        <w:jc w:val="both"/>
        <w:rPr>
          <w:rFonts w:eastAsia="Wingdings" w:cs="Wingdings"/>
          <w:b/>
          <w:b/>
          <w:u w:val="single"/>
        </w:rPr>
      </w:pPr>
      <w:r>
        <w:rPr>
          <w:rFonts w:eastAsia="Wingdings" w:cs="Wingdings"/>
          <w:b/>
          <w:u w:val="single"/>
        </w:rPr>
      </w:r>
    </w:p>
    <w:p>
      <w:pPr>
        <w:pStyle w:val="Normal"/>
        <w:jc w:val="both"/>
        <w:rPr>
          <w:u w:val="none"/>
        </w:rPr>
      </w:pPr>
      <w:r>
        <w:rPr>
          <w:rFonts w:eastAsia="Wingdings" w:cs="Wingdings"/>
          <w:b/>
          <w:u w:val="none"/>
        </w:rPr>
        <w:t>Obiettivi</w:t>
      </w:r>
    </w:p>
    <w:p>
      <w:pPr>
        <w:pStyle w:val="Normal"/>
        <w:numPr>
          <w:ilvl w:val="0"/>
          <w:numId w:val="4"/>
        </w:numPr>
        <w:suppressAutoHyphens w:val="false"/>
        <w:spacing w:before="2" w:after="0"/>
        <w:rPr/>
      </w:pPr>
      <w:r>
        <w:rPr>
          <w:lang w:eastAsia="it-IT"/>
        </w:rPr>
        <w:t>Implementare le azioni di presa in carico, attivazione e monitoraggio dei beneficiari delle Misure nazionali e regionali per il contrasto alla povertà (d’ora in poi REI e ReD);</w:t>
      </w:r>
    </w:p>
    <w:p>
      <w:pPr>
        <w:pStyle w:val="Normal"/>
        <w:numPr>
          <w:ilvl w:val="0"/>
          <w:numId w:val="4"/>
        </w:numPr>
        <w:suppressAutoHyphens w:val="false"/>
        <w:spacing w:before="2" w:after="0"/>
        <w:rPr/>
      </w:pPr>
      <w:r>
        <w:rPr>
          <w:lang w:eastAsia="it-IT"/>
        </w:rPr>
        <w:t xml:space="preserve">Definire una struttura di coordinamento centrale costituita da personale del Comune di Bari e incardinata nella responsabilità del RUP delle Misure REI e ReD, </w:t>
      </w:r>
      <w:r>
        <w:rPr/>
        <w:t>POS</w:t>
      </w:r>
      <w:r>
        <w:rPr>
          <w:lang w:eastAsia="it-IT"/>
        </w:rPr>
        <w:t xml:space="preserve"> Politiche Attive del Lavoro;</w:t>
      </w:r>
    </w:p>
    <w:p>
      <w:pPr>
        <w:pStyle w:val="Normal"/>
        <w:numPr>
          <w:ilvl w:val="0"/>
          <w:numId w:val="4"/>
        </w:numPr>
        <w:suppressAutoHyphens w:val="false"/>
        <w:spacing w:before="2" w:after="0"/>
        <w:rPr/>
      </w:pPr>
      <w:r>
        <w:rPr>
          <w:lang w:eastAsia="it-IT"/>
        </w:rPr>
        <w:t>Costituire una struttura territoriale, sovrapponibile all’articolazione dei Municipi della Città di Bari, che possa sostanziare un rapporto di prossimità nonché di alleanza tra cittadino ed istituzioni.</w:t>
      </w:r>
    </w:p>
    <w:p>
      <w:pPr>
        <w:pStyle w:val="Normal"/>
        <w:numPr>
          <w:ilvl w:val="0"/>
          <w:numId w:val="4"/>
        </w:numPr>
        <w:suppressAutoHyphens w:val="false"/>
        <w:spacing w:before="2" w:after="0"/>
        <w:rPr/>
      </w:pPr>
      <w:r>
        <w:rPr>
          <w:lang w:eastAsia="it-IT"/>
        </w:rPr>
        <w:t>Favorire l’integrazione tra le equipe dedicate alla presa in carico delle misure di contrasto alla povertà ed il Servizio Sociale Professionale dei Municipi, per promuovere strategie di sistema nella gestione dell’esclusione sociale e lavorativa.</w:t>
      </w:r>
    </w:p>
    <w:p>
      <w:pPr>
        <w:pStyle w:val="Normal"/>
        <w:suppressAutoHyphens w:val="false"/>
        <w:spacing w:before="2" w:after="0"/>
        <w:rPr/>
      </w:pPr>
      <w:r>
        <w:rPr/>
      </w:r>
    </w:p>
    <w:p>
      <w:pPr>
        <w:pStyle w:val="Normal"/>
        <w:jc w:val="both"/>
        <w:rPr>
          <w:u w:val="none"/>
        </w:rPr>
      </w:pPr>
      <w:r>
        <w:rPr>
          <w:rFonts w:eastAsia="Wingdings" w:cs="Wingdings"/>
          <w:b/>
          <w:u w:val="none"/>
        </w:rPr>
        <w:t>Attività/prestazioni</w:t>
      </w:r>
    </w:p>
    <w:p>
      <w:pPr>
        <w:pStyle w:val="Normal"/>
        <w:numPr>
          <w:ilvl w:val="0"/>
          <w:numId w:val="2"/>
        </w:numPr>
        <w:suppressAutoHyphens w:val="false"/>
        <w:spacing w:before="2" w:after="0"/>
        <w:rPr/>
      </w:pPr>
      <w:r>
        <w:rPr>
          <w:lang w:eastAsia="it-IT"/>
        </w:rPr>
        <w:t>Individuazione di percorsi per il reclutamento differenziato delle diverse figure professionali costituenti le strutture centrali e territoriali,ed in particolare:</w:t>
      </w:r>
    </w:p>
    <w:p>
      <w:pPr>
        <w:pStyle w:val="Normal"/>
        <w:numPr>
          <w:ilvl w:val="0"/>
          <w:numId w:val="5"/>
        </w:numPr>
        <w:suppressAutoHyphens w:val="false"/>
        <w:spacing w:before="2" w:after="0"/>
        <w:rPr/>
      </w:pPr>
      <w:r>
        <w:rPr>
          <w:lang w:eastAsia="it-IT"/>
        </w:rPr>
        <w:t>Equipe di Raccordo – nomina della Direzione Generale del Comune di Bari;</w:t>
      </w:r>
    </w:p>
    <w:p>
      <w:pPr>
        <w:pStyle w:val="Normal"/>
        <w:numPr>
          <w:ilvl w:val="0"/>
          <w:numId w:val="5"/>
        </w:numPr>
        <w:suppressAutoHyphens w:val="false"/>
        <w:spacing w:before="2" w:after="0"/>
        <w:rPr/>
      </w:pPr>
      <w:r>
        <w:rPr>
          <w:lang w:eastAsia="it-IT"/>
        </w:rPr>
        <w:t xml:space="preserve">n. 7 Assistenti Sociali – Dipendente del Comune di Bari a tempo determinato, cat. </w:t>
      </w:r>
      <w:r>
        <w:rPr>
          <w:lang w:val="en-US" w:eastAsia="it-IT"/>
        </w:rPr>
        <w:t>D1 – Risorse PON Inclusione;</w:t>
      </w:r>
    </w:p>
    <w:p>
      <w:pPr>
        <w:pStyle w:val="Normal"/>
        <w:numPr>
          <w:ilvl w:val="0"/>
          <w:numId w:val="5"/>
        </w:numPr>
        <w:suppressAutoHyphens w:val="false"/>
        <w:spacing w:before="2" w:after="0"/>
        <w:rPr/>
      </w:pPr>
      <w:r>
        <w:rPr>
          <w:lang w:eastAsia="it-IT"/>
        </w:rPr>
        <w:t>n. 7 Orientatori – per le attività connesse alla emersione e valorizzazione delle competenze dei beneficiari per i processi di attivazione –  Società private committenti per il Comune di Bari, con risorse del PON Inclusione;</w:t>
      </w:r>
    </w:p>
    <w:p>
      <w:pPr>
        <w:pStyle w:val="Normal"/>
        <w:numPr>
          <w:ilvl w:val="0"/>
          <w:numId w:val="5"/>
        </w:numPr>
        <w:suppressAutoHyphens w:val="false"/>
        <w:spacing w:before="2" w:after="0"/>
        <w:rPr/>
      </w:pPr>
      <w:r>
        <w:rPr>
          <w:lang w:eastAsia="it-IT"/>
        </w:rPr>
        <w:t>n. 7 Assistenti Sociali – con funzioni di segretariato Sociale – Società private committenti per il Comune di Bari, con risorse del PON Inclusione;</w:t>
      </w:r>
    </w:p>
    <w:p>
      <w:pPr>
        <w:pStyle w:val="Normal"/>
        <w:numPr>
          <w:ilvl w:val="0"/>
          <w:numId w:val="5"/>
        </w:numPr>
        <w:suppressAutoHyphens w:val="false"/>
        <w:spacing w:before="2" w:after="0"/>
        <w:rPr/>
      </w:pPr>
      <w:r>
        <w:rPr>
          <w:lang w:eastAsia="it-IT"/>
        </w:rPr>
        <w:t>n. 5 Tutor – per le attività di supporto e monitoraggio dei tirocini di Inclusione – azione trasversale a tutti i territori – Società private committenti per i Comune di Bari, con risorse del PON Inclusione;</w:t>
      </w:r>
    </w:p>
    <w:p>
      <w:pPr>
        <w:pStyle w:val="Normal"/>
        <w:numPr>
          <w:ilvl w:val="0"/>
          <w:numId w:val="2"/>
        </w:numPr>
        <w:suppressAutoHyphens w:val="false"/>
        <w:spacing w:before="2" w:after="0"/>
        <w:rPr/>
      </w:pPr>
      <w:r>
        <w:rPr>
          <w:lang w:eastAsia="it-IT"/>
        </w:rPr>
        <w:t>Presa in carico dei beneficiari delle Misure REI e ReD, seguendo lo schema procedurale e documentale codificato nell’ambito degli atti normativi nazionali e regionali;</w:t>
      </w:r>
    </w:p>
    <w:p>
      <w:pPr>
        <w:pStyle w:val="Normal"/>
        <w:numPr>
          <w:ilvl w:val="0"/>
          <w:numId w:val="2"/>
        </w:numPr>
        <w:suppressAutoHyphens w:val="false"/>
        <w:spacing w:before="2" w:after="0"/>
        <w:rPr/>
      </w:pPr>
      <w:r>
        <w:rPr>
          <w:lang w:eastAsia="it-IT"/>
        </w:rPr>
        <w:t>Definizione di un percorso integrato e multilivello costituito da colloqui di pre-assessment, orientamento professionale, sessioni motivazionali individuali/di gruppo, laboratori tematici e Tirocini di Inclusione;</w:t>
      </w:r>
    </w:p>
    <w:p>
      <w:pPr>
        <w:pStyle w:val="Normal"/>
        <w:numPr>
          <w:ilvl w:val="0"/>
          <w:numId w:val="2"/>
        </w:numPr>
        <w:suppressAutoHyphens w:val="false"/>
        <w:spacing w:before="2" w:after="0"/>
        <w:rPr/>
      </w:pPr>
      <w:r>
        <w:rPr>
          <w:lang w:eastAsia="it-IT"/>
        </w:rPr>
        <w:t>Codifica di procedure per il monitoraggio e l’adempimento degli obblighi assunti dal beneficiario in sede di sottoscrizione del progetto personalizzato/patto di attivazione;</w:t>
      </w:r>
    </w:p>
    <w:p>
      <w:pPr>
        <w:pStyle w:val="Normal"/>
        <w:numPr>
          <w:ilvl w:val="0"/>
          <w:numId w:val="2"/>
        </w:numPr>
        <w:suppressAutoHyphens w:val="false"/>
        <w:spacing w:before="2" w:after="0"/>
        <w:rPr/>
      </w:pPr>
      <w:r>
        <w:rPr>
          <w:lang w:eastAsia="it-IT"/>
        </w:rPr>
        <w:t>Progettazione e realizzazione di un percorso di formazione dedicato al personale coinvolto (Assistenti Sociali del Comune di Bari).</w:t>
      </w:r>
    </w:p>
    <w:p>
      <w:pPr>
        <w:pStyle w:val="Normal"/>
        <w:jc w:val="both"/>
        <w:rPr>
          <w:rFonts w:eastAsia="Wingdings" w:cs="Wingdings"/>
          <w:b/>
          <w:b/>
          <w:u w:val="single"/>
          <w:lang w:eastAsia="it-IT"/>
        </w:rPr>
      </w:pPr>
      <w:r>
        <w:rPr>
          <w:rFonts w:eastAsia="Wingdings" w:cs="Wingdings"/>
          <w:b/>
          <w:u w:val="single"/>
          <w:lang w:eastAsia="it-IT"/>
        </w:rPr>
      </w:r>
    </w:p>
    <w:p>
      <w:pPr>
        <w:pStyle w:val="Normal"/>
        <w:jc w:val="both"/>
        <w:rPr>
          <w:u w:val="none"/>
        </w:rPr>
      </w:pPr>
      <w:r>
        <w:rPr>
          <w:rFonts w:eastAsia="Wingdings" w:cs="Wingdings"/>
          <w:b/>
          <w:u w:val="none"/>
        </w:rPr>
        <w:t>Risultati attesi</w:t>
      </w:r>
    </w:p>
    <w:p>
      <w:pPr>
        <w:pStyle w:val="Normal"/>
        <w:numPr>
          <w:ilvl w:val="0"/>
          <w:numId w:val="3"/>
        </w:numPr>
        <w:suppressAutoHyphens w:val="false"/>
        <w:spacing w:before="2" w:after="0"/>
        <w:rPr/>
      </w:pPr>
      <w:r>
        <w:rPr>
          <w:lang w:eastAsia="it-IT"/>
        </w:rPr>
        <w:t>Attivazione di una struttura sistemica per la presa incarico dei beneficiari del REI e del ReD, favorendo la territorializzazione dei punti di accesso e la fidelizzazione degli operatori di riferimento;</w:t>
      </w:r>
    </w:p>
    <w:p>
      <w:pPr>
        <w:pStyle w:val="Normal"/>
        <w:numPr>
          <w:ilvl w:val="0"/>
          <w:numId w:val="3"/>
        </w:numPr>
        <w:suppressAutoHyphens w:val="false"/>
        <w:spacing w:before="2" w:after="0"/>
        <w:rPr/>
      </w:pPr>
      <w:r>
        <w:rPr>
          <w:lang w:eastAsia="it-IT"/>
        </w:rPr>
        <w:t>Promunovere azioni innovative per Ia gestione delle Misure da sistematizzare e disseminare a livello regionale e nazionale quale modello operativo dell’Ambito di Bari.</w:t>
      </w:r>
    </w:p>
    <w:p>
      <w:pPr>
        <w:pStyle w:val="Normal"/>
        <w:suppressAutoHyphens w:val="false"/>
        <w:spacing w:before="2" w:after="0"/>
        <w:ind w:left="720" w:hanging="0"/>
        <w:rPr>
          <w:rFonts w:eastAsia="Wingdings" w:cs="Wingdings"/>
          <w:szCs w:val="20"/>
          <w:lang w:eastAsia="it-IT"/>
        </w:rPr>
      </w:pPr>
      <w:r>
        <w:rPr>
          <w:rFonts w:eastAsia="Wingdings" w:cs="Wingdings"/>
          <w:szCs w:val="20"/>
          <w:lang w:eastAsia="it-IT"/>
        </w:rPr>
      </w:r>
    </w:p>
    <w:p>
      <w:pPr>
        <w:pStyle w:val="Normal"/>
        <w:pBdr>
          <w:top w:val="single" w:sz="4" w:space="1" w:color="000001"/>
          <w:left w:val="single" w:sz="4" w:space="4" w:color="000001"/>
          <w:bottom w:val="single" w:sz="4" w:space="1" w:color="000001"/>
          <w:right w:val="single" w:sz="4" w:space="4" w:color="000001"/>
        </w:pBdr>
        <w:ind w:left="540" w:hanging="540"/>
        <w:rPr/>
      </w:pPr>
      <w:r>
        <w:rPr>
          <w:rFonts w:eastAsia="Wingdings" w:cs="Wingdings"/>
          <w:b/>
        </w:rPr>
        <w:t xml:space="preserve">Profilo degli operatori richiesti per la realizzazione del servizio </w:t>
      </w:r>
    </w:p>
    <w:p>
      <w:pPr>
        <w:pStyle w:val="Normal"/>
        <w:jc w:val="both"/>
        <w:rPr>
          <w:rFonts w:eastAsia="Wingdings" w:cs="Wingdings"/>
          <w:b/>
          <w:b/>
        </w:rPr>
      </w:pPr>
      <w:r>
        <w:rPr>
          <w:rFonts w:eastAsia="Wingdings" w:cs="Wingdings"/>
          <w:b/>
        </w:rPr>
      </w:r>
    </w:p>
    <w:p>
      <w:pPr>
        <w:pStyle w:val="Normal"/>
        <w:suppressAutoHyphens w:val="false"/>
        <w:spacing w:before="2" w:after="0"/>
        <w:rPr/>
      </w:pPr>
      <w:r>
        <w:rPr>
          <w:szCs w:val="20"/>
          <w:lang w:eastAsia="it-IT"/>
        </w:rPr>
        <w:t xml:space="preserve">La struttura operativa è così articolata: </w:t>
      </w:r>
    </w:p>
    <w:p>
      <w:pPr>
        <w:pStyle w:val="Normal"/>
        <w:numPr>
          <w:ilvl w:val="0"/>
          <w:numId w:val="6"/>
        </w:numPr>
        <w:suppressAutoHyphens w:val="false"/>
        <w:spacing w:before="2" w:after="0"/>
        <w:rPr/>
      </w:pPr>
      <w:r>
        <w:rPr>
          <w:b/>
          <w:szCs w:val="20"/>
          <w:lang w:eastAsia="it-IT"/>
        </w:rPr>
        <w:t>Rup della misura</w:t>
      </w:r>
      <w:r>
        <w:rPr>
          <w:szCs w:val="20"/>
          <w:lang w:eastAsia="it-IT"/>
        </w:rPr>
        <w:t>: Funzionario Amministrativo Comune di Bari;</w:t>
      </w:r>
    </w:p>
    <w:p>
      <w:pPr>
        <w:pStyle w:val="Normal"/>
        <w:numPr>
          <w:ilvl w:val="0"/>
          <w:numId w:val="6"/>
        </w:numPr>
        <w:suppressAutoHyphens w:val="false"/>
        <w:spacing w:before="2" w:after="0"/>
        <w:rPr/>
      </w:pPr>
      <w:r>
        <w:rPr>
          <w:b/>
          <w:szCs w:val="20"/>
          <w:lang w:eastAsia="it-IT"/>
        </w:rPr>
        <w:t xml:space="preserve">Equipe di raccordo </w:t>
      </w:r>
      <w:r>
        <w:rPr>
          <w:szCs w:val="20"/>
          <w:lang w:eastAsia="it-IT"/>
        </w:rPr>
        <w:t>con funzioni di coordinamento/monitoraggio delle equipe territoriali per gli aspetti della presa in carico, dei processi di attivazione, delle azioni amministrative trasversali, e della sistematizzazione dei dati;</w:t>
      </w:r>
    </w:p>
    <w:p>
      <w:pPr>
        <w:pStyle w:val="Normal"/>
        <w:numPr>
          <w:ilvl w:val="0"/>
          <w:numId w:val="6"/>
        </w:numPr>
        <w:suppressAutoHyphens w:val="false"/>
        <w:spacing w:before="2" w:after="0"/>
        <w:rPr/>
      </w:pPr>
      <w:r>
        <w:rPr>
          <w:szCs w:val="20"/>
          <w:lang w:eastAsia="it-IT"/>
        </w:rPr>
        <w:t>n. 1 Assistente sociale – cat. D1 Dipendente del Comune di Bari;</w:t>
      </w:r>
    </w:p>
    <w:p>
      <w:pPr>
        <w:pStyle w:val="Normal"/>
        <w:numPr>
          <w:ilvl w:val="0"/>
          <w:numId w:val="6"/>
        </w:numPr>
        <w:suppressAutoHyphens w:val="false"/>
        <w:spacing w:before="2" w:after="0"/>
        <w:rPr/>
      </w:pPr>
      <w:r>
        <w:rPr>
          <w:szCs w:val="20"/>
          <w:lang w:eastAsia="it-IT"/>
        </w:rPr>
        <w:t>n. 1 Pedagogista – cat. D1 Dipendente del Comune di Bari;</w:t>
      </w:r>
    </w:p>
    <w:p>
      <w:pPr>
        <w:pStyle w:val="Normal"/>
        <w:numPr>
          <w:ilvl w:val="0"/>
          <w:numId w:val="6"/>
        </w:numPr>
        <w:suppressAutoHyphens w:val="false"/>
        <w:spacing w:before="2" w:after="0"/>
        <w:rPr/>
      </w:pPr>
      <w:r>
        <w:rPr>
          <w:szCs w:val="20"/>
          <w:lang w:eastAsia="it-IT"/>
        </w:rPr>
        <w:t>n. 1 Istruttore Amministrativo – cat. C1 Dipendente del Comune di Bari;</w:t>
      </w:r>
    </w:p>
    <w:p>
      <w:pPr>
        <w:pStyle w:val="Normal"/>
        <w:numPr>
          <w:ilvl w:val="0"/>
          <w:numId w:val="6"/>
        </w:numPr>
        <w:suppressAutoHyphens w:val="false"/>
        <w:spacing w:before="2" w:after="0"/>
        <w:rPr/>
      </w:pPr>
      <w:r>
        <w:rPr>
          <w:szCs w:val="20"/>
          <w:lang w:eastAsia="it-IT"/>
        </w:rPr>
        <w:t xml:space="preserve">n.7 </w:t>
      </w:r>
      <w:r>
        <w:rPr>
          <w:b/>
          <w:szCs w:val="20"/>
          <w:lang w:eastAsia="it-IT"/>
        </w:rPr>
        <w:t>Equipe territoriali</w:t>
      </w:r>
      <w:r>
        <w:rPr>
          <w:szCs w:val="20"/>
          <w:lang w:eastAsia="it-IT"/>
        </w:rPr>
        <w:t xml:space="preserve"> ciascuna costituita dal seguente personale:</w:t>
      </w:r>
    </w:p>
    <w:p>
      <w:pPr>
        <w:pStyle w:val="Normal"/>
        <w:suppressAutoHyphens w:val="false"/>
        <w:spacing w:before="2" w:after="0"/>
        <w:rPr/>
      </w:pPr>
      <w:r>
        <w:rPr>
          <w:szCs w:val="20"/>
          <w:lang w:eastAsia="it-IT"/>
        </w:rPr>
        <w:tab/>
        <w:t xml:space="preserve">– n. 1 Assistente Sociale – con funzioni di segretariato Sociale – Società private committenti </w:t>
        <w:tab/>
        <w:t>per il Comune di Bari con risorse del PON Inclusione;</w:t>
      </w:r>
    </w:p>
    <w:p>
      <w:pPr>
        <w:pStyle w:val="Normal"/>
        <w:suppressAutoHyphens w:val="false"/>
        <w:spacing w:before="2" w:after="0"/>
        <w:rPr/>
      </w:pPr>
      <w:r>
        <w:rPr>
          <w:szCs w:val="20"/>
          <w:lang w:eastAsia="it-IT"/>
        </w:rPr>
        <w:tab/>
        <w:t xml:space="preserve">– n. 1 Assistente Sociale – con funzioni connesse alla presa in carico – cat. D1 Dipendente </w:t>
        <w:tab/>
        <w:t>del Comune di Bari, a tempo determinato – Pon Inclusione;</w:t>
      </w:r>
    </w:p>
    <w:p>
      <w:pPr>
        <w:pStyle w:val="Normal"/>
        <w:suppressAutoHyphens w:val="false"/>
        <w:spacing w:before="2" w:after="0"/>
        <w:rPr/>
      </w:pPr>
      <w:r>
        <w:rPr>
          <w:szCs w:val="20"/>
          <w:lang w:eastAsia="it-IT"/>
        </w:rPr>
        <w:tab/>
        <w:t>– n. 1 Orientatore – per le attività connesse alla emersione e valorizzazione delle compe</w:t>
        <w:tab/>
        <w:t>tenze dei beneficiari per i processi di attivazione –  Società private committenti per il Co</w:t>
        <w:tab/>
        <w:t>mune di Bari, con risorse del PON Inclusione.</w:t>
      </w:r>
    </w:p>
    <w:p>
      <w:pPr>
        <w:pStyle w:val="Normal"/>
        <w:numPr>
          <w:ilvl w:val="0"/>
          <w:numId w:val="7"/>
        </w:numPr>
        <w:suppressAutoHyphens w:val="false"/>
        <w:spacing w:before="2" w:after="0"/>
        <w:rPr/>
      </w:pPr>
      <w:r>
        <w:rPr>
          <w:b/>
          <w:bCs/>
          <w:szCs w:val="20"/>
          <w:lang w:eastAsia="it-IT"/>
        </w:rPr>
        <w:t xml:space="preserve">Servizio di Tutoraggio (trasversale alle equipe territoriali): </w:t>
      </w:r>
      <w:r>
        <w:rPr>
          <w:szCs w:val="20"/>
          <w:lang w:eastAsia="it-IT"/>
        </w:rPr>
        <w:t>n. 5 Tutor – per le attività di supporto e monitoraggio dei tirocini di Inclusione – Società private committenti per il Comune di Bari, con risorse del PON Inclusione.</w:t>
      </w:r>
    </w:p>
    <w:p>
      <w:pPr>
        <w:pStyle w:val="Normal"/>
        <w:ind w:left="720" w:hanging="0"/>
        <w:jc w:val="both"/>
        <w:rPr/>
      </w:pPr>
      <w:r>
        <w:rPr/>
      </w:r>
    </w:p>
    <w:sectPr>
      <w:type w:val="nextPage"/>
      <w:pgSz w:w="11906" w:h="16838"/>
      <w:pgMar w:left="1134" w:right="1134" w:header="0" w:top="1417"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Trebuchet MS">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OpenSymbol">
    <w:altName w:val="Arial Unicode MS"/>
    <w:charset w:val="00"/>
    <w:family w:val="roman"/>
    <w:pitch w:val="variable"/>
  </w:font>
  <w:font w:name="Verdana">
    <w:charset w:val="00"/>
    <w:family w:val="roman"/>
    <w:pitch w:val="variable"/>
  </w:font>
  <w:font w:name="Arial">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olo1"/>
      <w:numFmt w:val="none"/>
      <w:suff w:val="nothing"/>
      <w:lvlText w:val=""/>
      <w:lvlJc w:val="left"/>
      <w:pPr>
        <w:ind w:left="0" w:hanging="0"/>
      </w:pPr>
    </w:lvl>
    <w:lvl w:ilvl="1">
      <w:start w:val="1"/>
      <w:pStyle w:val="Titolo2"/>
      <w:numFmt w:val="none"/>
      <w:suff w:val="nothing"/>
      <w:lvlText w:val=""/>
      <w:lvlJc w:val="left"/>
      <w:pPr>
        <w:ind w:left="0" w:hanging="0"/>
      </w:pPr>
    </w:lvl>
    <w:lvl w:ilvl="2">
      <w:start w:val="1"/>
      <w:pStyle w:val="Titolo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20"/>
        <w:szCs w:val="20"/>
        <w:rFonts w:cs="Symbol"/>
        <w:lang w:val="en-US" w:eastAsia="it-IT"/>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0"/>
        <w:szCs w:val="20"/>
        <w:rFonts w:cs="Symbol"/>
        <w:lang w:val="en-US" w:eastAsia="it-IT"/>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4">
    <w:lvl w:ilvl="0">
      <w:start w:val="1"/>
      <w:numFmt w:val="bullet"/>
      <w:lvlText w:val=""/>
      <w:lvlJc w:val="left"/>
      <w:pPr>
        <w:tabs>
          <w:tab w:val="num" w:pos="720"/>
        </w:tabs>
        <w:ind w:left="720" w:hanging="360"/>
      </w:pPr>
      <w:rPr>
        <w:rFonts w:ascii="Symbol" w:hAnsi="Symbol" w:cs="Symbol" w:hint="default"/>
        <w:szCs w:val="20"/>
        <w:rFonts w:cs="OpenSymbol"/>
        <w:lang w:val="en-US" w:eastAsia="it-IT"/>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szCs w:val="20"/>
        <w:rFonts w:cs="OpenSymbol"/>
        <w:lang w:val="en-US" w:eastAsia="it-IT"/>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szCs w:val="20"/>
        <w:rFonts w:cs="OpenSymbol"/>
        <w:lang w:val="en-US" w:eastAsia="it-IT"/>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decimal"/>
      <w:lvlText w:val="%1."/>
      <w:lvlJc w:val="left"/>
      <w:pPr>
        <w:tabs>
          <w:tab w:val="num" w:pos="1080"/>
        </w:tabs>
        <w:ind w:left="1080" w:hanging="360"/>
      </w:pPr>
      <w:rPr>
        <w:szCs w:val="20"/>
        <w:lang w:val="en-US" w:eastAsia="it-IT"/>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6">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7">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isplayBackgroundShape/>
  <w:embedSystemFonts/>
  <w:defaultTabStop w:val="708"/>
  <w:autoHyphenation w:val="false"/>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070da"/>
    <w:pPr>
      <w:widowControl/>
      <w:suppressAutoHyphens w:val="true"/>
      <w:bidi w:val="0"/>
      <w:jc w:val="left"/>
    </w:pPr>
    <w:rPr>
      <w:rFonts w:ascii="Times New Roman" w:hAnsi="Times New Roman" w:eastAsia="Times New Roman" w:cs="Times New Roman"/>
      <w:color w:val="00000A"/>
      <w:sz w:val="24"/>
      <w:szCs w:val="24"/>
      <w:lang w:val="it-IT" w:eastAsia="zh-CN" w:bidi="ar-SA"/>
    </w:rPr>
  </w:style>
  <w:style w:type="paragraph" w:styleId="Titolo1">
    <w:name w:val="Heading 1"/>
    <w:basedOn w:val="Normal"/>
    <w:qFormat/>
    <w:rsid w:val="008070da"/>
    <w:pPr>
      <w:keepNext/>
      <w:numPr>
        <w:ilvl w:val="0"/>
        <w:numId w:val="1"/>
      </w:numPr>
      <w:jc w:val="center"/>
      <w:outlineLvl w:val="0"/>
      <w:outlineLvl w:val="0"/>
    </w:pPr>
    <w:rPr>
      <w:rFonts w:ascii="Tahoma" w:hAnsi="Tahoma" w:cs="Tahoma"/>
      <w:b/>
      <w:bCs/>
      <w:i/>
      <w:iCs/>
      <w:sz w:val="32"/>
    </w:rPr>
  </w:style>
  <w:style w:type="paragraph" w:styleId="Titolo2">
    <w:name w:val="Heading 2"/>
    <w:basedOn w:val="Normal"/>
    <w:qFormat/>
    <w:rsid w:val="008070da"/>
    <w:pPr>
      <w:keepNext/>
      <w:numPr>
        <w:ilvl w:val="1"/>
        <w:numId w:val="1"/>
      </w:numPr>
      <w:jc w:val="center"/>
      <w:outlineLvl w:val="1"/>
      <w:outlineLvl w:val="1"/>
    </w:pPr>
    <w:rPr>
      <w:rFonts w:ascii="Trebuchet MS" w:hAnsi="Trebuchet MS" w:cs="Trebuchet MS"/>
      <w:b/>
      <w:bCs/>
    </w:rPr>
  </w:style>
  <w:style w:type="paragraph" w:styleId="Titolo3">
    <w:name w:val="Heading 3"/>
    <w:basedOn w:val="Normal"/>
    <w:qFormat/>
    <w:rsid w:val="008070da"/>
    <w:pPr>
      <w:keepNext/>
      <w:numPr>
        <w:ilvl w:val="2"/>
        <w:numId w:val="1"/>
      </w:numPr>
      <w:ind w:left="360" w:hanging="0"/>
      <w:jc w:val="center"/>
      <w:outlineLvl w:val="2"/>
      <w:outlineLvl w:val="2"/>
    </w:pPr>
    <w:rPr>
      <w:rFonts w:ascii="Trebuchet MS" w:hAnsi="Trebuchet MS" w:cs="Trebuchet MS"/>
      <w:b/>
      <w:bCs/>
    </w:rPr>
  </w:style>
  <w:style w:type="character" w:styleId="DefaultParagraphFont" w:default="1">
    <w:name w:val="Default Paragraph Font"/>
    <w:uiPriority w:val="1"/>
    <w:semiHidden/>
    <w:unhideWhenUsed/>
    <w:qFormat/>
    <w:rPr/>
  </w:style>
  <w:style w:type="character" w:styleId="WW8Num1z0" w:customStyle="1">
    <w:name w:val="WW8Num1z0"/>
    <w:qFormat/>
    <w:rsid w:val="008070da"/>
    <w:rPr/>
  </w:style>
  <w:style w:type="character" w:styleId="WW8Num1z1" w:customStyle="1">
    <w:name w:val="WW8Num1z1"/>
    <w:qFormat/>
    <w:rsid w:val="008070da"/>
    <w:rPr/>
  </w:style>
  <w:style w:type="character" w:styleId="WW8Num1z2" w:customStyle="1">
    <w:name w:val="WW8Num1z2"/>
    <w:qFormat/>
    <w:rsid w:val="008070da"/>
    <w:rPr/>
  </w:style>
  <w:style w:type="character" w:styleId="WW8Num1z3" w:customStyle="1">
    <w:name w:val="WW8Num1z3"/>
    <w:qFormat/>
    <w:rsid w:val="008070da"/>
    <w:rPr/>
  </w:style>
  <w:style w:type="character" w:styleId="WW8Num1z4" w:customStyle="1">
    <w:name w:val="WW8Num1z4"/>
    <w:qFormat/>
    <w:rsid w:val="008070da"/>
    <w:rPr/>
  </w:style>
  <w:style w:type="character" w:styleId="WW8Num1z5" w:customStyle="1">
    <w:name w:val="WW8Num1z5"/>
    <w:qFormat/>
    <w:rsid w:val="008070da"/>
    <w:rPr/>
  </w:style>
  <w:style w:type="character" w:styleId="WW8Num1z6" w:customStyle="1">
    <w:name w:val="WW8Num1z6"/>
    <w:qFormat/>
    <w:rsid w:val="008070da"/>
    <w:rPr/>
  </w:style>
  <w:style w:type="character" w:styleId="WW8Num1z7" w:customStyle="1">
    <w:name w:val="WW8Num1z7"/>
    <w:qFormat/>
    <w:rsid w:val="008070da"/>
    <w:rPr/>
  </w:style>
  <w:style w:type="character" w:styleId="WW8Num1z8" w:customStyle="1">
    <w:name w:val="WW8Num1z8"/>
    <w:qFormat/>
    <w:rsid w:val="008070da"/>
    <w:rPr/>
  </w:style>
  <w:style w:type="character" w:styleId="WW8Num2z0" w:customStyle="1">
    <w:name w:val="WW8Num2z0"/>
    <w:qFormat/>
    <w:rsid w:val="008070da"/>
    <w:rPr>
      <w:rFonts w:ascii="Symbol" w:hAnsi="Symbol" w:cs="Symbol"/>
      <w:sz w:val="20"/>
      <w:szCs w:val="20"/>
      <w:lang w:val="en-US" w:eastAsia="it-IT"/>
    </w:rPr>
  </w:style>
  <w:style w:type="character" w:styleId="WW8Num2z1" w:customStyle="1">
    <w:name w:val="WW8Num2z1"/>
    <w:qFormat/>
    <w:rsid w:val="008070da"/>
    <w:rPr>
      <w:rFonts w:ascii="Courier New" w:hAnsi="Courier New" w:cs="Courier New"/>
      <w:sz w:val="20"/>
    </w:rPr>
  </w:style>
  <w:style w:type="character" w:styleId="WW8Num2z2" w:customStyle="1">
    <w:name w:val="WW8Num2z2"/>
    <w:qFormat/>
    <w:rsid w:val="008070da"/>
    <w:rPr>
      <w:rFonts w:ascii="Wingdings" w:hAnsi="Wingdings" w:cs="Wingdings"/>
      <w:sz w:val="20"/>
    </w:rPr>
  </w:style>
  <w:style w:type="character" w:styleId="WW8Num3z0" w:customStyle="1">
    <w:name w:val="WW8Num3z0"/>
    <w:qFormat/>
    <w:rsid w:val="008070da"/>
    <w:rPr>
      <w:rFonts w:ascii="Symbol" w:hAnsi="Symbol" w:cs="Symbol"/>
      <w:sz w:val="20"/>
      <w:szCs w:val="20"/>
      <w:lang w:val="en-US" w:eastAsia="it-IT"/>
    </w:rPr>
  </w:style>
  <w:style w:type="character" w:styleId="WW8Num3z1" w:customStyle="1">
    <w:name w:val="WW8Num3z1"/>
    <w:qFormat/>
    <w:rsid w:val="008070da"/>
    <w:rPr>
      <w:rFonts w:ascii="Courier New" w:hAnsi="Courier New" w:cs="Courier New"/>
      <w:sz w:val="20"/>
    </w:rPr>
  </w:style>
  <w:style w:type="character" w:styleId="WW8Num3z2" w:customStyle="1">
    <w:name w:val="WW8Num3z2"/>
    <w:qFormat/>
    <w:rsid w:val="008070da"/>
    <w:rPr>
      <w:rFonts w:ascii="Wingdings" w:hAnsi="Wingdings" w:cs="Wingdings"/>
      <w:sz w:val="20"/>
    </w:rPr>
  </w:style>
  <w:style w:type="character" w:styleId="WW8Num4z0" w:customStyle="1">
    <w:name w:val="WW8Num4z0"/>
    <w:qFormat/>
    <w:rsid w:val="008070da"/>
    <w:rPr>
      <w:rFonts w:ascii="Symbol" w:hAnsi="Symbol" w:cs="OpenSymbol"/>
      <w:szCs w:val="20"/>
      <w:lang w:val="en-US" w:eastAsia="it-IT"/>
    </w:rPr>
  </w:style>
  <w:style w:type="character" w:styleId="WW8Num4z1" w:customStyle="1">
    <w:name w:val="WW8Num4z1"/>
    <w:qFormat/>
    <w:rsid w:val="008070da"/>
    <w:rPr>
      <w:rFonts w:ascii="OpenSymbol" w:hAnsi="OpenSymbol" w:cs="OpenSymbol"/>
    </w:rPr>
  </w:style>
  <w:style w:type="character" w:styleId="WW8Num5z0" w:customStyle="1">
    <w:name w:val="WW8Num5z0"/>
    <w:qFormat/>
    <w:rsid w:val="008070da"/>
    <w:rPr>
      <w:szCs w:val="20"/>
      <w:lang w:val="en-US" w:eastAsia="it-IT"/>
    </w:rPr>
  </w:style>
  <w:style w:type="character" w:styleId="WW8Num5z1" w:customStyle="1">
    <w:name w:val="WW8Num5z1"/>
    <w:qFormat/>
    <w:rsid w:val="008070da"/>
    <w:rPr/>
  </w:style>
  <w:style w:type="character" w:styleId="WW8Num5z2" w:customStyle="1">
    <w:name w:val="WW8Num5z2"/>
    <w:qFormat/>
    <w:rsid w:val="008070da"/>
    <w:rPr/>
  </w:style>
  <w:style w:type="character" w:styleId="WW8Num5z3" w:customStyle="1">
    <w:name w:val="WW8Num5z3"/>
    <w:qFormat/>
    <w:rsid w:val="008070da"/>
    <w:rPr/>
  </w:style>
  <w:style w:type="character" w:styleId="WW8Num5z4" w:customStyle="1">
    <w:name w:val="WW8Num5z4"/>
    <w:qFormat/>
    <w:rsid w:val="008070da"/>
    <w:rPr/>
  </w:style>
  <w:style w:type="character" w:styleId="WW8Num5z5" w:customStyle="1">
    <w:name w:val="WW8Num5z5"/>
    <w:qFormat/>
    <w:rsid w:val="008070da"/>
    <w:rPr/>
  </w:style>
  <w:style w:type="character" w:styleId="WW8Num5z6" w:customStyle="1">
    <w:name w:val="WW8Num5z6"/>
    <w:qFormat/>
    <w:rsid w:val="008070da"/>
    <w:rPr/>
  </w:style>
  <w:style w:type="character" w:styleId="WW8Num5z7" w:customStyle="1">
    <w:name w:val="WW8Num5z7"/>
    <w:qFormat/>
    <w:rsid w:val="008070da"/>
    <w:rPr/>
  </w:style>
  <w:style w:type="character" w:styleId="WW8Num5z8" w:customStyle="1">
    <w:name w:val="WW8Num5z8"/>
    <w:qFormat/>
    <w:rsid w:val="008070da"/>
    <w:rPr/>
  </w:style>
  <w:style w:type="character" w:styleId="WW8Num6z0" w:customStyle="1">
    <w:name w:val="WW8Num6z0"/>
    <w:qFormat/>
    <w:rsid w:val="008070da"/>
    <w:rPr>
      <w:rFonts w:ascii="Symbol" w:hAnsi="Symbol" w:cs="Symbol"/>
      <w:sz w:val="20"/>
    </w:rPr>
  </w:style>
  <w:style w:type="character" w:styleId="WW8Num6z1" w:customStyle="1">
    <w:name w:val="WW8Num6z1"/>
    <w:qFormat/>
    <w:rsid w:val="008070da"/>
    <w:rPr>
      <w:rFonts w:ascii="Courier New" w:hAnsi="Courier New" w:cs="Courier New"/>
      <w:sz w:val="20"/>
    </w:rPr>
  </w:style>
  <w:style w:type="character" w:styleId="WW8Num6z2" w:customStyle="1">
    <w:name w:val="WW8Num6z2"/>
    <w:qFormat/>
    <w:rsid w:val="008070da"/>
    <w:rPr>
      <w:rFonts w:ascii="Wingdings" w:hAnsi="Wingdings" w:cs="Wingdings"/>
      <w:sz w:val="20"/>
    </w:rPr>
  </w:style>
  <w:style w:type="character" w:styleId="WW8Num7z0" w:customStyle="1">
    <w:name w:val="WW8Num7z0"/>
    <w:qFormat/>
    <w:rsid w:val="008070da"/>
    <w:rPr>
      <w:rFonts w:ascii="Symbol" w:hAnsi="Symbol" w:cs="Symbol"/>
      <w:sz w:val="20"/>
      <w:szCs w:val="20"/>
      <w:lang w:val="en-US" w:eastAsia="it-IT"/>
    </w:rPr>
  </w:style>
  <w:style w:type="character" w:styleId="WW8Num7z1" w:customStyle="1">
    <w:name w:val="WW8Num7z1"/>
    <w:qFormat/>
    <w:rsid w:val="008070da"/>
    <w:rPr>
      <w:rFonts w:ascii="Courier New" w:hAnsi="Courier New" w:cs="Courier New"/>
      <w:sz w:val="20"/>
    </w:rPr>
  </w:style>
  <w:style w:type="character" w:styleId="WW8Num7z2" w:customStyle="1">
    <w:name w:val="WW8Num7z2"/>
    <w:qFormat/>
    <w:rsid w:val="008070da"/>
    <w:rPr>
      <w:rFonts w:ascii="Wingdings" w:hAnsi="Wingdings" w:cs="Wingdings"/>
      <w:sz w:val="20"/>
    </w:rPr>
  </w:style>
  <w:style w:type="character" w:styleId="WW8Num8z0" w:customStyle="1">
    <w:name w:val="WW8Num8z0"/>
    <w:qFormat/>
    <w:rsid w:val="008070da"/>
    <w:rPr>
      <w:rFonts w:ascii="Symbol" w:hAnsi="Symbol" w:cs="Symbol"/>
      <w:sz w:val="20"/>
    </w:rPr>
  </w:style>
  <w:style w:type="character" w:styleId="WW8Num8z1" w:customStyle="1">
    <w:name w:val="WW8Num8z1"/>
    <w:qFormat/>
    <w:rsid w:val="008070da"/>
    <w:rPr>
      <w:rFonts w:ascii="Courier New" w:hAnsi="Courier New" w:cs="Courier New"/>
      <w:sz w:val="20"/>
    </w:rPr>
  </w:style>
  <w:style w:type="character" w:styleId="WW8Num8z2" w:customStyle="1">
    <w:name w:val="WW8Num8z2"/>
    <w:qFormat/>
    <w:rsid w:val="008070da"/>
    <w:rPr>
      <w:rFonts w:ascii="Wingdings" w:hAnsi="Wingdings" w:cs="Wingdings"/>
      <w:sz w:val="20"/>
    </w:rPr>
  </w:style>
  <w:style w:type="character" w:styleId="WW8Num9z0" w:customStyle="1">
    <w:name w:val="WW8Num9z0"/>
    <w:qFormat/>
    <w:rsid w:val="008070da"/>
    <w:rPr>
      <w:rFonts w:ascii="Symbol" w:hAnsi="Symbol" w:cs="Symbol"/>
      <w:sz w:val="20"/>
    </w:rPr>
  </w:style>
  <w:style w:type="character" w:styleId="WW8Num9z1" w:customStyle="1">
    <w:name w:val="WW8Num9z1"/>
    <w:qFormat/>
    <w:rsid w:val="008070da"/>
    <w:rPr>
      <w:rFonts w:ascii="Courier New" w:hAnsi="Courier New" w:cs="Courier New"/>
      <w:sz w:val="20"/>
    </w:rPr>
  </w:style>
  <w:style w:type="character" w:styleId="WW8Num9z2" w:customStyle="1">
    <w:name w:val="WW8Num9z2"/>
    <w:qFormat/>
    <w:rsid w:val="008070da"/>
    <w:rPr>
      <w:rFonts w:ascii="Wingdings" w:hAnsi="Wingdings" w:cs="Wingdings"/>
      <w:sz w:val="20"/>
    </w:rPr>
  </w:style>
  <w:style w:type="character" w:styleId="WW8Num10z0" w:customStyle="1">
    <w:name w:val="WW8Num10z0"/>
    <w:qFormat/>
    <w:rsid w:val="008070da"/>
    <w:rPr>
      <w:rFonts w:ascii="Symbol" w:hAnsi="Symbol" w:cs="Symbol"/>
      <w:sz w:val="20"/>
    </w:rPr>
  </w:style>
  <w:style w:type="character" w:styleId="WW8Num10z1" w:customStyle="1">
    <w:name w:val="WW8Num10z1"/>
    <w:qFormat/>
    <w:rsid w:val="008070da"/>
    <w:rPr>
      <w:rFonts w:ascii="Courier New" w:hAnsi="Courier New" w:cs="Courier New"/>
      <w:sz w:val="20"/>
    </w:rPr>
  </w:style>
  <w:style w:type="character" w:styleId="WW8Num10z2" w:customStyle="1">
    <w:name w:val="WW8Num10z2"/>
    <w:qFormat/>
    <w:rsid w:val="008070da"/>
    <w:rPr>
      <w:rFonts w:ascii="Wingdings" w:hAnsi="Wingdings" w:cs="Wingdings"/>
      <w:sz w:val="20"/>
    </w:rPr>
  </w:style>
  <w:style w:type="character" w:styleId="Caratterepredefinitoparagrafo" w:customStyle="1">
    <w:name w:val="Carattere predefinito paragrafo"/>
    <w:qFormat/>
    <w:rsid w:val="008070da"/>
    <w:rPr/>
  </w:style>
  <w:style w:type="character" w:styleId="WW8Num2z3" w:customStyle="1">
    <w:name w:val="WW8Num2z3"/>
    <w:qFormat/>
    <w:rsid w:val="008070da"/>
    <w:rPr>
      <w:rFonts w:ascii="Symbol" w:hAnsi="Symbol" w:cs="Symbol"/>
    </w:rPr>
  </w:style>
  <w:style w:type="character" w:styleId="WW8Num3z3" w:customStyle="1">
    <w:name w:val="WW8Num3z3"/>
    <w:qFormat/>
    <w:rsid w:val="008070da"/>
    <w:rPr>
      <w:rFonts w:ascii="Symbol" w:hAnsi="Symbol" w:cs="Symbol"/>
    </w:rPr>
  </w:style>
  <w:style w:type="character" w:styleId="WW8Num4z2" w:customStyle="1">
    <w:name w:val="WW8Num4z2"/>
    <w:qFormat/>
    <w:rsid w:val="008070da"/>
    <w:rPr>
      <w:rFonts w:ascii="Wingdings" w:hAnsi="Wingdings" w:cs="Wingdings"/>
    </w:rPr>
  </w:style>
  <w:style w:type="character" w:styleId="WW8Num6z3" w:customStyle="1">
    <w:name w:val="WW8Num6z3"/>
    <w:qFormat/>
    <w:rsid w:val="008070da"/>
    <w:rPr>
      <w:rFonts w:ascii="Symbol" w:hAnsi="Symbol" w:cs="Symbol"/>
    </w:rPr>
  </w:style>
  <w:style w:type="character" w:styleId="WW8Num7z3" w:customStyle="1">
    <w:name w:val="WW8Num7z3"/>
    <w:qFormat/>
    <w:rsid w:val="008070da"/>
    <w:rPr>
      <w:rFonts w:ascii="Symbol" w:hAnsi="Symbol" w:cs="Symbol"/>
    </w:rPr>
  </w:style>
  <w:style w:type="character" w:styleId="WW8Num8z3" w:customStyle="1">
    <w:name w:val="WW8Num8z3"/>
    <w:qFormat/>
    <w:rsid w:val="008070da"/>
    <w:rPr>
      <w:rFonts w:ascii="Symbol" w:hAnsi="Symbol" w:cs="Symbol"/>
    </w:rPr>
  </w:style>
  <w:style w:type="character" w:styleId="WW8Num9z3" w:customStyle="1">
    <w:name w:val="WW8Num9z3"/>
    <w:qFormat/>
    <w:rsid w:val="008070da"/>
    <w:rPr>
      <w:rFonts w:ascii="Symbol" w:hAnsi="Symbol" w:cs="Symbol"/>
    </w:rPr>
  </w:style>
  <w:style w:type="character" w:styleId="WW8Num10z3" w:customStyle="1">
    <w:name w:val="WW8Num10z3"/>
    <w:qFormat/>
    <w:rsid w:val="008070da"/>
    <w:rPr/>
  </w:style>
  <w:style w:type="character" w:styleId="WW8Num10z4" w:customStyle="1">
    <w:name w:val="WW8Num10z4"/>
    <w:qFormat/>
    <w:rsid w:val="008070da"/>
    <w:rPr/>
  </w:style>
  <w:style w:type="character" w:styleId="WW8Num10z5" w:customStyle="1">
    <w:name w:val="WW8Num10z5"/>
    <w:qFormat/>
    <w:rsid w:val="008070da"/>
    <w:rPr/>
  </w:style>
  <w:style w:type="character" w:styleId="WW8Num10z6" w:customStyle="1">
    <w:name w:val="WW8Num10z6"/>
    <w:qFormat/>
    <w:rsid w:val="008070da"/>
    <w:rPr/>
  </w:style>
  <w:style w:type="character" w:styleId="WW8Num10z7" w:customStyle="1">
    <w:name w:val="WW8Num10z7"/>
    <w:qFormat/>
    <w:rsid w:val="008070da"/>
    <w:rPr/>
  </w:style>
  <w:style w:type="character" w:styleId="WW8Num10z8" w:customStyle="1">
    <w:name w:val="WW8Num10z8"/>
    <w:qFormat/>
    <w:rsid w:val="008070da"/>
    <w:rPr/>
  </w:style>
  <w:style w:type="character" w:styleId="WW8Num11z0" w:customStyle="1">
    <w:name w:val="WW8Num11z0"/>
    <w:qFormat/>
    <w:rsid w:val="008070da"/>
    <w:rPr>
      <w:rFonts w:ascii="Symbol" w:hAnsi="Symbol" w:cs="Symbol"/>
    </w:rPr>
  </w:style>
  <w:style w:type="character" w:styleId="WW8Num11z1" w:customStyle="1">
    <w:name w:val="WW8Num11z1"/>
    <w:qFormat/>
    <w:rsid w:val="008070da"/>
    <w:rPr>
      <w:rFonts w:ascii="Verdana" w:hAnsi="Verdana" w:eastAsia="Times New Roman" w:cs="Times New Roman"/>
    </w:rPr>
  </w:style>
  <w:style w:type="character" w:styleId="WW8Num11z2" w:customStyle="1">
    <w:name w:val="WW8Num11z2"/>
    <w:qFormat/>
    <w:rsid w:val="008070da"/>
    <w:rPr>
      <w:rFonts w:ascii="Wingdings" w:hAnsi="Wingdings" w:cs="Wingdings"/>
    </w:rPr>
  </w:style>
  <w:style w:type="character" w:styleId="WW8Num11z4" w:customStyle="1">
    <w:name w:val="WW8Num11z4"/>
    <w:qFormat/>
    <w:rsid w:val="008070da"/>
    <w:rPr>
      <w:rFonts w:ascii="Courier New" w:hAnsi="Courier New" w:cs="Courier New"/>
    </w:rPr>
  </w:style>
  <w:style w:type="character" w:styleId="WW8Num12z0" w:customStyle="1">
    <w:name w:val="WW8Num12z0"/>
    <w:qFormat/>
    <w:rsid w:val="008070da"/>
    <w:rPr/>
  </w:style>
  <w:style w:type="character" w:styleId="WW8Num13z0" w:customStyle="1">
    <w:name w:val="WW8Num13z0"/>
    <w:qFormat/>
    <w:rsid w:val="008070da"/>
    <w:rPr>
      <w:rFonts w:ascii="Symbol" w:hAnsi="Symbol" w:cs="Symbol"/>
    </w:rPr>
  </w:style>
  <w:style w:type="character" w:styleId="WW8Num13z1" w:customStyle="1">
    <w:name w:val="WW8Num13z1"/>
    <w:qFormat/>
    <w:rsid w:val="008070da"/>
    <w:rPr>
      <w:rFonts w:ascii="Courier New" w:hAnsi="Courier New" w:cs="Courier New"/>
    </w:rPr>
  </w:style>
  <w:style w:type="character" w:styleId="WW8Num13z2" w:customStyle="1">
    <w:name w:val="WW8Num13z2"/>
    <w:qFormat/>
    <w:rsid w:val="008070da"/>
    <w:rPr>
      <w:rFonts w:ascii="Wingdings" w:hAnsi="Wingdings" w:cs="Wingdings"/>
    </w:rPr>
  </w:style>
  <w:style w:type="character" w:styleId="WW8Num14z0" w:customStyle="1">
    <w:name w:val="WW8Num14z0"/>
    <w:qFormat/>
    <w:rsid w:val="008070da"/>
    <w:rPr>
      <w:rFonts w:ascii="Symbol" w:hAnsi="Symbol" w:cs="Symbol"/>
    </w:rPr>
  </w:style>
  <w:style w:type="character" w:styleId="WW8Num14z1" w:customStyle="1">
    <w:name w:val="WW8Num14z1"/>
    <w:qFormat/>
    <w:rsid w:val="008070da"/>
    <w:rPr>
      <w:rFonts w:ascii="Courier New" w:hAnsi="Courier New" w:cs="Courier New"/>
    </w:rPr>
  </w:style>
  <w:style w:type="character" w:styleId="WW8Num14z2" w:customStyle="1">
    <w:name w:val="WW8Num14z2"/>
    <w:qFormat/>
    <w:rsid w:val="008070da"/>
    <w:rPr>
      <w:rFonts w:ascii="Wingdings" w:hAnsi="Wingdings" w:cs="Wingdings"/>
    </w:rPr>
  </w:style>
  <w:style w:type="character" w:styleId="WW8Num15z0" w:customStyle="1">
    <w:name w:val="WW8Num15z0"/>
    <w:qFormat/>
    <w:rsid w:val="008070da"/>
    <w:rPr>
      <w:rFonts w:ascii="Arial" w:hAnsi="Arial" w:cs="Arial"/>
    </w:rPr>
  </w:style>
  <w:style w:type="character" w:styleId="WW8Num15z1" w:customStyle="1">
    <w:name w:val="WW8Num15z1"/>
    <w:qFormat/>
    <w:rsid w:val="008070da"/>
    <w:rPr>
      <w:rFonts w:ascii="Courier New" w:hAnsi="Courier New" w:cs="Courier New"/>
    </w:rPr>
  </w:style>
  <w:style w:type="character" w:styleId="WW8Num15z2" w:customStyle="1">
    <w:name w:val="WW8Num15z2"/>
    <w:qFormat/>
    <w:rsid w:val="008070da"/>
    <w:rPr>
      <w:rFonts w:ascii="Wingdings" w:hAnsi="Wingdings" w:cs="Wingdings"/>
    </w:rPr>
  </w:style>
  <w:style w:type="character" w:styleId="WW8Num15z3" w:customStyle="1">
    <w:name w:val="WW8Num15z3"/>
    <w:qFormat/>
    <w:rsid w:val="008070da"/>
    <w:rPr>
      <w:rFonts w:ascii="Symbol" w:hAnsi="Symbol" w:cs="Symbol"/>
    </w:rPr>
  </w:style>
  <w:style w:type="character" w:styleId="WW8Num16z0" w:customStyle="1">
    <w:name w:val="WW8Num16z0"/>
    <w:qFormat/>
    <w:rsid w:val="008070da"/>
    <w:rPr>
      <w:rFonts w:ascii="Wingdings" w:hAnsi="Wingdings" w:eastAsia="Times New Roman" w:cs="Times New Roman"/>
    </w:rPr>
  </w:style>
  <w:style w:type="character" w:styleId="WW8Num16z1" w:customStyle="1">
    <w:name w:val="WW8Num16z1"/>
    <w:qFormat/>
    <w:rsid w:val="008070da"/>
    <w:rPr>
      <w:rFonts w:ascii="Courier New" w:hAnsi="Courier New" w:cs="Courier New"/>
    </w:rPr>
  </w:style>
  <w:style w:type="character" w:styleId="WW8Num16z2" w:customStyle="1">
    <w:name w:val="WW8Num16z2"/>
    <w:qFormat/>
    <w:rsid w:val="008070da"/>
    <w:rPr>
      <w:rFonts w:ascii="Wingdings" w:hAnsi="Wingdings" w:cs="Wingdings"/>
    </w:rPr>
  </w:style>
  <w:style w:type="character" w:styleId="WW8Num16z3" w:customStyle="1">
    <w:name w:val="WW8Num16z3"/>
    <w:qFormat/>
    <w:rsid w:val="008070da"/>
    <w:rPr>
      <w:rFonts w:ascii="Symbol" w:hAnsi="Symbol" w:cs="Symbol"/>
    </w:rPr>
  </w:style>
  <w:style w:type="character" w:styleId="WW8Num17z0" w:customStyle="1">
    <w:name w:val="WW8Num17z0"/>
    <w:qFormat/>
    <w:rsid w:val="008070da"/>
    <w:rPr>
      <w:rFonts w:ascii="Wingdings" w:hAnsi="Wingdings" w:eastAsia="Times New Roman" w:cs="Times New Roman"/>
    </w:rPr>
  </w:style>
  <w:style w:type="character" w:styleId="WW8Num17z1" w:customStyle="1">
    <w:name w:val="WW8Num17z1"/>
    <w:qFormat/>
    <w:rsid w:val="008070da"/>
    <w:rPr>
      <w:rFonts w:ascii="Courier New" w:hAnsi="Courier New" w:cs="Courier New"/>
    </w:rPr>
  </w:style>
  <w:style w:type="character" w:styleId="WW8Num17z2" w:customStyle="1">
    <w:name w:val="WW8Num17z2"/>
    <w:qFormat/>
    <w:rsid w:val="008070da"/>
    <w:rPr>
      <w:rFonts w:ascii="Wingdings" w:hAnsi="Wingdings" w:cs="Wingdings"/>
    </w:rPr>
  </w:style>
  <w:style w:type="character" w:styleId="WW8Num17z3" w:customStyle="1">
    <w:name w:val="WW8Num17z3"/>
    <w:qFormat/>
    <w:rsid w:val="008070da"/>
    <w:rPr>
      <w:rFonts w:ascii="Symbol" w:hAnsi="Symbol" w:cs="Symbol"/>
    </w:rPr>
  </w:style>
  <w:style w:type="character" w:styleId="WW8Num18z0" w:customStyle="1">
    <w:name w:val="WW8Num18z0"/>
    <w:qFormat/>
    <w:rsid w:val="008070da"/>
    <w:rPr>
      <w:rFonts w:ascii="Times New Roman" w:hAnsi="Times New Roman" w:eastAsia="Times New Roman" w:cs="Times New Roman"/>
    </w:rPr>
  </w:style>
  <w:style w:type="character" w:styleId="WW8Num18z1" w:customStyle="1">
    <w:name w:val="WW8Num18z1"/>
    <w:qFormat/>
    <w:rsid w:val="008070da"/>
    <w:rPr>
      <w:rFonts w:ascii="Courier New" w:hAnsi="Courier New" w:cs="Courier New"/>
    </w:rPr>
  </w:style>
  <w:style w:type="character" w:styleId="WW8Num18z2" w:customStyle="1">
    <w:name w:val="WW8Num18z2"/>
    <w:qFormat/>
    <w:rsid w:val="008070da"/>
    <w:rPr>
      <w:rFonts w:ascii="Wingdings" w:hAnsi="Wingdings" w:cs="Wingdings"/>
    </w:rPr>
  </w:style>
  <w:style w:type="character" w:styleId="WW8Num18z3" w:customStyle="1">
    <w:name w:val="WW8Num18z3"/>
    <w:qFormat/>
    <w:rsid w:val="008070da"/>
    <w:rPr>
      <w:rFonts w:ascii="Symbol" w:hAnsi="Symbol" w:cs="Symbol"/>
    </w:rPr>
  </w:style>
  <w:style w:type="character" w:styleId="WW8Num19z0" w:customStyle="1">
    <w:name w:val="WW8Num19z0"/>
    <w:qFormat/>
    <w:rsid w:val="008070da"/>
    <w:rPr>
      <w:rFonts w:ascii="Symbol" w:hAnsi="Symbol" w:cs="Symbol"/>
    </w:rPr>
  </w:style>
  <w:style w:type="character" w:styleId="WW8Num19z1" w:customStyle="1">
    <w:name w:val="WW8Num19z1"/>
    <w:qFormat/>
    <w:rsid w:val="008070da"/>
    <w:rPr>
      <w:rFonts w:ascii="Courier New" w:hAnsi="Courier New" w:cs="Courier New"/>
    </w:rPr>
  </w:style>
  <w:style w:type="character" w:styleId="WW8Num19z2" w:customStyle="1">
    <w:name w:val="WW8Num19z2"/>
    <w:qFormat/>
    <w:rsid w:val="008070da"/>
    <w:rPr>
      <w:rFonts w:ascii="Wingdings" w:hAnsi="Wingdings" w:cs="Wingdings"/>
    </w:rPr>
  </w:style>
  <w:style w:type="character" w:styleId="WW8Num20z0" w:customStyle="1">
    <w:name w:val="WW8Num20z0"/>
    <w:qFormat/>
    <w:rsid w:val="008070da"/>
    <w:rPr>
      <w:rFonts w:ascii="Symbol" w:hAnsi="Symbol" w:cs="Symbol"/>
    </w:rPr>
  </w:style>
  <w:style w:type="character" w:styleId="WW8Num20z1" w:customStyle="1">
    <w:name w:val="WW8Num20z1"/>
    <w:qFormat/>
    <w:rsid w:val="008070da"/>
    <w:rPr>
      <w:rFonts w:ascii="Courier New" w:hAnsi="Courier New" w:cs="Courier New"/>
    </w:rPr>
  </w:style>
  <w:style w:type="character" w:styleId="WW8Num20z2" w:customStyle="1">
    <w:name w:val="WW8Num20z2"/>
    <w:qFormat/>
    <w:rsid w:val="008070da"/>
    <w:rPr>
      <w:rFonts w:ascii="Wingdings" w:hAnsi="Wingdings" w:cs="Wingdings"/>
    </w:rPr>
  </w:style>
  <w:style w:type="character" w:styleId="WW8Num21z0" w:customStyle="1">
    <w:name w:val="WW8Num21z0"/>
    <w:qFormat/>
    <w:rsid w:val="008070da"/>
    <w:rPr>
      <w:rFonts w:ascii="Trebuchet MS" w:hAnsi="Trebuchet MS" w:eastAsia="Times New Roman" w:cs="Times New Roman"/>
    </w:rPr>
  </w:style>
  <w:style w:type="character" w:styleId="WW8Num21z1" w:customStyle="1">
    <w:name w:val="WW8Num21z1"/>
    <w:qFormat/>
    <w:rsid w:val="008070da"/>
    <w:rPr>
      <w:rFonts w:ascii="Courier New" w:hAnsi="Courier New" w:cs="Courier New"/>
    </w:rPr>
  </w:style>
  <w:style w:type="character" w:styleId="WW8Num21z2" w:customStyle="1">
    <w:name w:val="WW8Num21z2"/>
    <w:qFormat/>
    <w:rsid w:val="008070da"/>
    <w:rPr>
      <w:rFonts w:ascii="Wingdings" w:hAnsi="Wingdings" w:cs="Wingdings"/>
    </w:rPr>
  </w:style>
  <w:style w:type="character" w:styleId="WW8Num21z3" w:customStyle="1">
    <w:name w:val="WW8Num21z3"/>
    <w:qFormat/>
    <w:rsid w:val="008070da"/>
    <w:rPr>
      <w:rFonts w:ascii="Symbol" w:hAnsi="Symbol" w:cs="Symbol"/>
    </w:rPr>
  </w:style>
  <w:style w:type="character" w:styleId="WW8Num22z0" w:customStyle="1">
    <w:name w:val="WW8Num22z0"/>
    <w:qFormat/>
    <w:rsid w:val="008070da"/>
    <w:rPr>
      <w:rFonts w:ascii="Symbol" w:hAnsi="Symbol" w:cs="Symbol"/>
    </w:rPr>
  </w:style>
  <w:style w:type="character" w:styleId="WW8Num22z1" w:customStyle="1">
    <w:name w:val="WW8Num22z1"/>
    <w:qFormat/>
    <w:rsid w:val="008070da"/>
    <w:rPr>
      <w:rFonts w:ascii="Courier New" w:hAnsi="Courier New" w:cs="Courier New"/>
    </w:rPr>
  </w:style>
  <w:style w:type="character" w:styleId="WW8Num22z2" w:customStyle="1">
    <w:name w:val="WW8Num22z2"/>
    <w:qFormat/>
    <w:rsid w:val="008070da"/>
    <w:rPr>
      <w:rFonts w:ascii="Wingdings" w:hAnsi="Wingdings" w:cs="Wingdings"/>
    </w:rPr>
  </w:style>
  <w:style w:type="character" w:styleId="WW8Num23z0" w:customStyle="1">
    <w:name w:val="WW8Num23z0"/>
    <w:qFormat/>
    <w:rsid w:val="008070da"/>
    <w:rPr>
      <w:rFonts w:ascii="Trebuchet MS" w:hAnsi="Trebuchet MS" w:eastAsia="Times New Roman" w:cs="Times New Roman"/>
      <w:b/>
    </w:rPr>
  </w:style>
  <w:style w:type="character" w:styleId="WW8Num23z1" w:customStyle="1">
    <w:name w:val="WW8Num23z1"/>
    <w:qFormat/>
    <w:rsid w:val="008070da"/>
    <w:rPr>
      <w:rFonts w:ascii="Courier New" w:hAnsi="Courier New" w:cs="Courier New"/>
    </w:rPr>
  </w:style>
  <w:style w:type="character" w:styleId="WW8Num23z2" w:customStyle="1">
    <w:name w:val="WW8Num23z2"/>
    <w:qFormat/>
    <w:rsid w:val="008070da"/>
    <w:rPr>
      <w:rFonts w:ascii="Wingdings" w:hAnsi="Wingdings" w:cs="Wingdings"/>
    </w:rPr>
  </w:style>
  <w:style w:type="character" w:styleId="WW8Num23z3" w:customStyle="1">
    <w:name w:val="WW8Num23z3"/>
    <w:qFormat/>
    <w:rsid w:val="008070da"/>
    <w:rPr>
      <w:rFonts w:ascii="Symbol" w:hAnsi="Symbol" w:cs="Symbol"/>
    </w:rPr>
  </w:style>
  <w:style w:type="character" w:styleId="WW8Num24z0" w:customStyle="1">
    <w:name w:val="WW8Num24z0"/>
    <w:qFormat/>
    <w:rsid w:val="008070da"/>
    <w:rPr>
      <w:rFonts w:ascii="Symbol" w:hAnsi="Symbol" w:cs="Symbol"/>
    </w:rPr>
  </w:style>
  <w:style w:type="character" w:styleId="WW8Num24z1" w:customStyle="1">
    <w:name w:val="WW8Num24z1"/>
    <w:qFormat/>
    <w:rsid w:val="008070da"/>
    <w:rPr>
      <w:rFonts w:ascii="Courier New" w:hAnsi="Courier New" w:cs="Courier New"/>
    </w:rPr>
  </w:style>
  <w:style w:type="character" w:styleId="WW8Num24z2" w:customStyle="1">
    <w:name w:val="WW8Num24z2"/>
    <w:qFormat/>
    <w:rsid w:val="008070da"/>
    <w:rPr>
      <w:rFonts w:ascii="Wingdings" w:hAnsi="Wingdings" w:cs="Wingdings"/>
    </w:rPr>
  </w:style>
  <w:style w:type="character" w:styleId="WW8Num25z0" w:customStyle="1">
    <w:name w:val="WW8Num25z0"/>
    <w:qFormat/>
    <w:rsid w:val="008070da"/>
    <w:rPr>
      <w:rFonts w:ascii="Symbol" w:hAnsi="Symbol" w:cs="Symbol"/>
    </w:rPr>
  </w:style>
  <w:style w:type="character" w:styleId="WW8Num25z1" w:customStyle="1">
    <w:name w:val="WW8Num25z1"/>
    <w:qFormat/>
    <w:rsid w:val="008070da"/>
    <w:rPr>
      <w:rFonts w:ascii="Courier New" w:hAnsi="Courier New" w:cs="Courier New"/>
    </w:rPr>
  </w:style>
  <w:style w:type="character" w:styleId="WW8Num25z2" w:customStyle="1">
    <w:name w:val="WW8Num25z2"/>
    <w:qFormat/>
    <w:rsid w:val="008070da"/>
    <w:rPr>
      <w:rFonts w:ascii="Wingdings" w:hAnsi="Wingdings" w:cs="Wingdings"/>
    </w:rPr>
  </w:style>
  <w:style w:type="character" w:styleId="Carpredefinitoparagrafo1" w:customStyle="1">
    <w:name w:val="Car. predefinito paragrafo1"/>
    <w:qFormat/>
    <w:rsid w:val="008070da"/>
    <w:rPr/>
  </w:style>
  <w:style w:type="character" w:styleId="Caratterenotaapidipagina" w:customStyle="1">
    <w:name w:val="Carattere nota a piè di pagina"/>
    <w:qFormat/>
    <w:rsid w:val="008070da"/>
    <w:rPr>
      <w:vertAlign w:val="superscript"/>
    </w:rPr>
  </w:style>
  <w:style w:type="character" w:styleId="CollegamentoInternet">
    <w:name w:val="Collegamento Internet"/>
    <w:rsid w:val="008070da"/>
    <w:rPr>
      <w:color w:val="0000FF"/>
      <w:u w:val="single"/>
    </w:rPr>
  </w:style>
  <w:style w:type="character" w:styleId="FollowedHyperlink">
    <w:name w:val="FollowedHyperlink"/>
    <w:qFormat/>
    <w:rsid w:val="008070da"/>
    <w:rPr>
      <w:color w:val="800080"/>
      <w:u w:val="single"/>
    </w:rPr>
  </w:style>
  <w:style w:type="character" w:styleId="Rimandonotaapidipagina1" w:customStyle="1">
    <w:name w:val="Rimando nota a piè di pagina1"/>
    <w:qFormat/>
    <w:rsid w:val="008070da"/>
    <w:rPr>
      <w:vertAlign w:val="superscript"/>
    </w:rPr>
  </w:style>
  <w:style w:type="character" w:styleId="Punti" w:customStyle="1">
    <w:name w:val="Punti"/>
    <w:qFormat/>
    <w:rsid w:val="008070da"/>
    <w:rPr>
      <w:rFonts w:ascii="OpenSymbol" w:hAnsi="OpenSymbol" w:eastAsia="OpenSymbol" w:cs="OpenSymbol"/>
    </w:rPr>
  </w:style>
  <w:style w:type="character" w:styleId="Caratterenotadichiusura" w:customStyle="1">
    <w:name w:val="Carattere nota di chiusura"/>
    <w:qFormat/>
    <w:rsid w:val="008070da"/>
    <w:rPr>
      <w:vertAlign w:val="superscript"/>
    </w:rPr>
  </w:style>
  <w:style w:type="character" w:styleId="WWCaratterenotadichiusura" w:customStyle="1">
    <w:name w:val="WW-Carattere nota di chiusura"/>
    <w:qFormat/>
    <w:rsid w:val="008070da"/>
    <w:rPr/>
  </w:style>
  <w:style w:type="character" w:styleId="Rimandonotadichiusura1" w:customStyle="1">
    <w:name w:val="Rimando nota di chiusura1"/>
    <w:qFormat/>
    <w:rsid w:val="008070da"/>
    <w:rPr>
      <w:vertAlign w:val="superscript"/>
    </w:rPr>
  </w:style>
  <w:style w:type="character" w:styleId="Footnotereference">
    <w:name w:val="footnote reference"/>
    <w:qFormat/>
    <w:rsid w:val="008070da"/>
    <w:rPr>
      <w:vertAlign w:val="superscript"/>
    </w:rPr>
  </w:style>
  <w:style w:type="character" w:styleId="Endnotereference">
    <w:name w:val="endnote reference"/>
    <w:qFormat/>
    <w:rsid w:val="008070da"/>
    <w:rPr>
      <w:vertAlign w:val="superscript"/>
    </w:rPr>
  </w:style>
  <w:style w:type="character" w:styleId="Caratteredinumerazione" w:customStyle="1">
    <w:name w:val="Carattere di numerazione"/>
    <w:qFormat/>
    <w:rsid w:val="008070da"/>
    <w:rPr/>
  </w:style>
  <w:style w:type="character" w:styleId="ListLabel1">
    <w:name w:val="ListLabel 1"/>
    <w:qFormat/>
    <w:rPr>
      <w:rFonts w:cs="Symbol"/>
      <w:sz w:val="20"/>
      <w:szCs w:val="20"/>
      <w:lang w:val="en-US" w:eastAsia="it-IT"/>
    </w:rPr>
  </w:style>
  <w:style w:type="character" w:styleId="ListLabel2">
    <w:name w:val="ListLabel 2"/>
    <w:qFormat/>
    <w:rPr>
      <w:rFonts w:cs="Courier New"/>
      <w:sz w:val="20"/>
    </w:rPr>
  </w:style>
  <w:style w:type="character" w:styleId="ListLabel3">
    <w:name w:val="ListLabel 3"/>
    <w:qFormat/>
    <w:rPr>
      <w:rFonts w:cs="Wingdings"/>
      <w:sz w:val="20"/>
    </w:rPr>
  </w:style>
  <w:style w:type="character" w:styleId="ListLabel4">
    <w:name w:val="ListLabel 4"/>
    <w:qFormat/>
    <w:rPr>
      <w:rFonts w:cs="Wingdings"/>
      <w:sz w:val="20"/>
    </w:rPr>
  </w:style>
  <w:style w:type="character" w:styleId="ListLabel5">
    <w:name w:val="ListLabel 5"/>
    <w:qFormat/>
    <w:rPr>
      <w:rFonts w:cs="Wingdings"/>
      <w:sz w:val="20"/>
    </w:rPr>
  </w:style>
  <w:style w:type="character" w:styleId="ListLabel6">
    <w:name w:val="ListLabel 6"/>
    <w:qFormat/>
    <w:rPr>
      <w:rFonts w:cs="Wingdings"/>
      <w:sz w:val="20"/>
    </w:rPr>
  </w:style>
  <w:style w:type="character" w:styleId="ListLabel7">
    <w:name w:val="ListLabel 7"/>
    <w:qFormat/>
    <w:rPr>
      <w:rFonts w:cs="Wingdings"/>
      <w:sz w:val="20"/>
    </w:rPr>
  </w:style>
  <w:style w:type="character" w:styleId="ListLabel8">
    <w:name w:val="ListLabel 8"/>
    <w:qFormat/>
    <w:rPr>
      <w:rFonts w:cs="Wingdings"/>
      <w:sz w:val="20"/>
    </w:rPr>
  </w:style>
  <w:style w:type="character" w:styleId="ListLabel9">
    <w:name w:val="ListLabel 9"/>
    <w:qFormat/>
    <w:rPr>
      <w:rFonts w:cs="Wingdings"/>
      <w:sz w:val="20"/>
    </w:rPr>
  </w:style>
  <w:style w:type="character" w:styleId="ListLabel10">
    <w:name w:val="ListLabel 10"/>
    <w:qFormat/>
    <w:rPr>
      <w:rFonts w:cs="Symbol"/>
      <w:sz w:val="20"/>
      <w:szCs w:val="20"/>
      <w:lang w:val="en-US" w:eastAsia="it-IT"/>
    </w:rPr>
  </w:style>
  <w:style w:type="character" w:styleId="ListLabel11">
    <w:name w:val="ListLabel 11"/>
    <w:qFormat/>
    <w:rPr>
      <w:rFonts w:cs="Courier New"/>
      <w:sz w:val="20"/>
    </w:rPr>
  </w:style>
  <w:style w:type="character" w:styleId="ListLabel12">
    <w:name w:val="ListLabel 12"/>
    <w:qFormat/>
    <w:rPr>
      <w:rFonts w:cs="Wingdings"/>
      <w:sz w:val="20"/>
    </w:rPr>
  </w:style>
  <w:style w:type="character" w:styleId="ListLabel13">
    <w:name w:val="ListLabel 13"/>
    <w:qFormat/>
    <w:rPr>
      <w:rFonts w:cs="Wingdings"/>
      <w:sz w:val="20"/>
    </w:rPr>
  </w:style>
  <w:style w:type="character" w:styleId="ListLabel14">
    <w:name w:val="ListLabel 14"/>
    <w:qFormat/>
    <w:rPr>
      <w:rFonts w:cs="Wingdings"/>
      <w:sz w:val="20"/>
    </w:rPr>
  </w:style>
  <w:style w:type="character" w:styleId="ListLabel15">
    <w:name w:val="ListLabel 15"/>
    <w:qFormat/>
    <w:rPr>
      <w:rFonts w:cs="Wingdings"/>
      <w:sz w:val="20"/>
    </w:rPr>
  </w:style>
  <w:style w:type="character" w:styleId="ListLabel16">
    <w:name w:val="ListLabel 16"/>
    <w:qFormat/>
    <w:rPr>
      <w:rFonts w:cs="Wingdings"/>
      <w:sz w:val="20"/>
    </w:rPr>
  </w:style>
  <w:style w:type="character" w:styleId="ListLabel17">
    <w:name w:val="ListLabel 17"/>
    <w:qFormat/>
    <w:rPr>
      <w:rFonts w:cs="Wingdings"/>
      <w:sz w:val="20"/>
    </w:rPr>
  </w:style>
  <w:style w:type="character" w:styleId="ListLabel18">
    <w:name w:val="ListLabel 18"/>
    <w:qFormat/>
    <w:rPr>
      <w:rFonts w:cs="Wingdings"/>
      <w:sz w:val="20"/>
    </w:rPr>
  </w:style>
  <w:style w:type="character" w:styleId="ListLabel19">
    <w:name w:val="ListLabel 19"/>
    <w:qFormat/>
    <w:rPr>
      <w:rFonts w:cs="OpenSymbol"/>
      <w:szCs w:val="20"/>
      <w:lang w:val="en-US" w:eastAsia="it-IT"/>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szCs w:val="20"/>
      <w:lang w:val="en-US" w:eastAsia="it-IT"/>
    </w:rPr>
  </w:style>
  <w:style w:type="character" w:styleId="ListLabel23">
    <w:name w:val="ListLabel 23"/>
    <w:qFormat/>
    <w:rPr>
      <w:rFonts w:cs="OpenSymbol"/>
    </w:rPr>
  </w:style>
  <w:style w:type="character" w:styleId="ListLabel24">
    <w:name w:val="ListLabel 24"/>
    <w:qFormat/>
    <w:rPr>
      <w:rFonts w:cs="OpenSymbol"/>
    </w:rPr>
  </w:style>
  <w:style w:type="character" w:styleId="ListLabel25">
    <w:name w:val="ListLabel 25"/>
    <w:qFormat/>
    <w:rPr>
      <w:rFonts w:cs="OpenSymbol"/>
      <w:szCs w:val="20"/>
      <w:lang w:val="en-US" w:eastAsia="it-IT"/>
    </w:rPr>
  </w:style>
  <w:style w:type="character" w:styleId="ListLabel26">
    <w:name w:val="ListLabel 26"/>
    <w:qFormat/>
    <w:rPr>
      <w:rFonts w:cs="OpenSymbol"/>
    </w:rPr>
  </w:style>
  <w:style w:type="character" w:styleId="ListLabel27">
    <w:name w:val="ListLabel 27"/>
    <w:qFormat/>
    <w:rPr>
      <w:rFonts w:cs="OpenSymbol"/>
    </w:rPr>
  </w:style>
  <w:style w:type="character" w:styleId="ListLabel28">
    <w:name w:val="ListLabel 28"/>
    <w:qFormat/>
    <w:rPr>
      <w:szCs w:val="20"/>
      <w:lang w:val="en-US" w:eastAsia="it-IT"/>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cs="OpenSymbol"/>
    </w:rPr>
  </w:style>
  <w:style w:type="character" w:styleId="ListLabel38">
    <w:name w:val="ListLabel 38"/>
    <w:qFormat/>
    <w:rPr>
      <w:rFonts w:cs="Open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cs="OpenSymbol"/>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OpenSymbol"/>
    </w:rPr>
  </w:style>
  <w:style w:type="character" w:styleId="ListLabel46">
    <w:name w:val="ListLabel 46"/>
    <w:qFormat/>
    <w:rPr>
      <w:rFonts w:cs="OpenSymbol"/>
    </w:rPr>
  </w:style>
  <w:style w:type="character" w:styleId="ListLabel47">
    <w:name w:val="ListLabel 47"/>
    <w:qFormat/>
    <w:rPr>
      <w:rFonts w:cs="Symbol"/>
      <w:sz w:val="20"/>
      <w:szCs w:val="20"/>
      <w:lang w:val="en-US" w:eastAsia="it-IT"/>
    </w:rPr>
  </w:style>
  <w:style w:type="character" w:styleId="ListLabel48">
    <w:name w:val="ListLabel 48"/>
    <w:qFormat/>
    <w:rPr>
      <w:rFonts w:cs="Courier New"/>
      <w:sz w:val="20"/>
    </w:rPr>
  </w:style>
  <w:style w:type="character" w:styleId="ListLabel49">
    <w:name w:val="ListLabel 49"/>
    <w:qFormat/>
    <w:rPr>
      <w:rFonts w:cs="Wingdings"/>
      <w:sz w:val="20"/>
    </w:rPr>
  </w:style>
  <w:style w:type="character" w:styleId="ListLabel50">
    <w:name w:val="ListLabel 50"/>
    <w:qFormat/>
    <w:rPr>
      <w:rFonts w:cs="Wingdings"/>
      <w:sz w:val="20"/>
    </w:rPr>
  </w:style>
  <w:style w:type="character" w:styleId="ListLabel51">
    <w:name w:val="ListLabel 51"/>
    <w:qFormat/>
    <w:rPr>
      <w:rFonts w:cs="Wingdings"/>
      <w:sz w:val="20"/>
    </w:rPr>
  </w:style>
  <w:style w:type="character" w:styleId="ListLabel52">
    <w:name w:val="ListLabel 52"/>
    <w:qFormat/>
    <w:rPr>
      <w:rFonts w:cs="Wingdings"/>
      <w:sz w:val="20"/>
    </w:rPr>
  </w:style>
  <w:style w:type="character" w:styleId="ListLabel53">
    <w:name w:val="ListLabel 53"/>
    <w:qFormat/>
    <w:rPr>
      <w:rFonts w:cs="Wingdings"/>
      <w:sz w:val="20"/>
    </w:rPr>
  </w:style>
  <w:style w:type="character" w:styleId="ListLabel54">
    <w:name w:val="ListLabel 54"/>
    <w:qFormat/>
    <w:rPr>
      <w:rFonts w:cs="Wingdings"/>
      <w:sz w:val="20"/>
    </w:rPr>
  </w:style>
  <w:style w:type="character" w:styleId="ListLabel55">
    <w:name w:val="ListLabel 55"/>
    <w:qFormat/>
    <w:rPr>
      <w:rFonts w:cs="Wingdings"/>
      <w:sz w:val="20"/>
    </w:rPr>
  </w:style>
  <w:style w:type="character" w:styleId="ListLabel56">
    <w:name w:val="ListLabel 56"/>
    <w:qFormat/>
    <w:rPr>
      <w:rFonts w:cs="Symbol"/>
      <w:sz w:val="20"/>
      <w:szCs w:val="20"/>
      <w:lang w:val="en-US" w:eastAsia="it-IT"/>
    </w:rPr>
  </w:style>
  <w:style w:type="character" w:styleId="ListLabel57">
    <w:name w:val="ListLabel 57"/>
    <w:qFormat/>
    <w:rPr>
      <w:rFonts w:cs="Courier New"/>
      <w:sz w:val="20"/>
    </w:rPr>
  </w:style>
  <w:style w:type="character" w:styleId="ListLabel58">
    <w:name w:val="ListLabel 58"/>
    <w:qFormat/>
    <w:rPr>
      <w:rFonts w:cs="Wingdings"/>
      <w:sz w:val="20"/>
    </w:rPr>
  </w:style>
  <w:style w:type="character" w:styleId="ListLabel59">
    <w:name w:val="ListLabel 59"/>
    <w:qFormat/>
    <w:rPr>
      <w:rFonts w:cs="Wingdings"/>
      <w:sz w:val="20"/>
    </w:rPr>
  </w:style>
  <w:style w:type="character" w:styleId="ListLabel60">
    <w:name w:val="ListLabel 60"/>
    <w:qFormat/>
    <w:rPr>
      <w:rFonts w:cs="Wingdings"/>
      <w:sz w:val="20"/>
    </w:rPr>
  </w:style>
  <w:style w:type="character" w:styleId="ListLabel61">
    <w:name w:val="ListLabel 61"/>
    <w:qFormat/>
    <w:rPr>
      <w:rFonts w:cs="Wingdings"/>
      <w:sz w:val="20"/>
    </w:rPr>
  </w:style>
  <w:style w:type="character" w:styleId="ListLabel62">
    <w:name w:val="ListLabel 62"/>
    <w:qFormat/>
    <w:rPr>
      <w:rFonts w:cs="Wingdings"/>
      <w:sz w:val="20"/>
    </w:rPr>
  </w:style>
  <w:style w:type="character" w:styleId="ListLabel63">
    <w:name w:val="ListLabel 63"/>
    <w:qFormat/>
    <w:rPr>
      <w:rFonts w:cs="Wingdings"/>
      <w:sz w:val="20"/>
    </w:rPr>
  </w:style>
  <w:style w:type="character" w:styleId="ListLabel64">
    <w:name w:val="ListLabel 64"/>
    <w:qFormat/>
    <w:rPr>
      <w:rFonts w:cs="Wingdings"/>
      <w:sz w:val="20"/>
    </w:rPr>
  </w:style>
  <w:style w:type="character" w:styleId="ListLabel65">
    <w:name w:val="ListLabel 65"/>
    <w:qFormat/>
    <w:rPr>
      <w:rFonts w:cs="OpenSymbol"/>
      <w:szCs w:val="20"/>
      <w:lang w:val="en-US" w:eastAsia="it-IT"/>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OpenSymbol"/>
      <w:szCs w:val="20"/>
      <w:lang w:val="en-US" w:eastAsia="it-IT"/>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szCs w:val="20"/>
      <w:lang w:val="en-US" w:eastAsia="it-IT"/>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szCs w:val="20"/>
      <w:lang w:val="en-US" w:eastAsia="it-IT"/>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OpenSymbol"/>
    </w:rPr>
  </w:style>
  <w:style w:type="character" w:styleId="ListLabel78">
    <w:name w:val="ListLabel 78"/>
    <w:qFormat/>
    <w:rPr>
      <w:rFonts w:cs="OpenSymbol"/>
    </w:rPr>
  </w:style>
  <w:style w:type="character" w:styleId="ListLabel79">
    <w:name w:val="ListLabel 79"/>
    <w:qFormat/>
    <w:rPr>
      <w:rFonts w:cs="OpenSymbol"/>
    </w:rPr>
  </w:style>
  <w:style w:type="character" w:styleId="ListLabel80">
    <w:name w:val="ListLabel 80"/>
    <w:qFormat/>
    <w:rPr>
      <w:rFonts w:cs="OpenSymbol"/>
    </w:rPr>
  </w:style>
  <w:style w:type="character" w:styleId="ListLabel81">
    <w:name w:val="ListLabel 81"/>
    <w:qFormat/>
    <w:rPr>
      <w:rFonts w:cs="OpenSymbol"/>
    </w:rPr>
  </w:style>
  <w:style w:type="character" w:styleId="ListLabel82">
    <w:name w:val="ListLabel 82"/>
    <w:qFormat/>
    <w:rPr>
      <w:rFonts w:cs="OpenSymbol"/>
    </w:rPr>
  </w:style>
  <w:style w:type="character" w:styleId="ListLabel83">
    <w:name w:val="ListLabel 83"/>
    <w:qFormat/>
    <w:rPr>
      <w:rFonts w:cs="OpenSymbol"/>
    </w:rPr>
  </w:style>
  <w:style w:type="character" w:styleId="ListLabel84">
    <w:name w:val="ListLabel 84"/>
    <w:qFormat/>
    <w:rPr>
      <w:rFonts w:cs="OpenSymbol"/>
    </w:rPr>
  </w:style>
  <w:style w:type="character" w:styleId="ListLabel85">
    <w:name w:val="ListLabel 85"/>
    <w:qFormat/>
    <w:rPr>
      <w:rFonts w:cs="OpenSymbol"/>
    </w:rPr>
  </w:style>
  <w:style w:type="character" w:styleId="ListLabel86">
    <w:name w:val="ListLabel 86"/>
    <w:qFormat/>
    <w:rPr>
      <w:rFonts w:cs="OpenSymbol"/>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OpenSymbol"/>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OpenSymbol"/>
    </w:rPr>
  </w:style>
  <w:style w:type="paragraph" w:styleId="Titolo">
    <w:name w:val="Titolo"/>
    <w:basedOn w:val="Normal"/>
    <w:next w:val="Corpodeltesto"/>
    <w:qFormat/>
    <w:pPr>
      <w:keepNext/>
      <w:spacing w:before="240" w:after="120"/>
    </w:pPr>
    <w:rPr>
      <w:rFonts w:ascii="Liberation Sans" w:hAnsi="Liberation Sans" w:eastAsia="Microsoft YaHei" w:cs="Mangal"/>
      <w:sz w:val="28"/>
      <w:szCs w:val="28"/>
    </w:rPr>
  </w:style>
  <w:style w:type="paragraph" w:styleId="Corpodeltesto">
    <w:name w:val="Body Text"/>
    <w:basedOn w:val="Normal"/>
    <w:rsid w:val="008070da"/>
    <w:pPr>
      <w:jc w:val="both"/>
    </w:pPr>
    <w:rPr>
      <w:rFonts w:ascii="Trebuchet MS" w:hAnsi="Trebuchet MS" w:cs="Trebuchet MS"/>
    </w:rPr>
  </w:style>
  <w:style w:type="paragraph" w:styleId="Elenco">
    <w:name w:val="List"/>
    <w:basedOn w:val="Corpodeltesto"/>
    <w:rsid w:val="008070da"/>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customStyle="1">
    <w:name w:val="Indice"/>
    <w:basedOn w:val="Normal"/>
    <w:qFormat/>
    <w:rsid w:val="008070da"/>
    <w:pPr>
      <w:suppressLineNumbers/>
    </w:pPr>
    <w:rPr>
      <w:rFonts w:cs="Mangal"/>
    </w:rPr>
  </w:style>
  <w:style w:type="paragraph" w:styleId="Titolo11" w:customStyle="1">
    <w:name w:val="Titolo1"/>
    <w:basedOn w:val="Normal"/>
    <w:qFormat/>
    <w:rsid w:val="008070da"/>
    <w:pPr>
      <w:keepNext/>
      <w:spacing w:before="240" w:after="120"/>
    </w:pPr>
    <w:rPr>
      <w:rFonts w:ascii="Liberation Sans" w:hAnsi="Liberation Sans" w:eastAsia="Microsoft YaHei" w:cs="Mangal"/>
      <w:sz w:val="28"/>
      <w:szCs w:val="28"/>
    </w:rPr>
  </w:style>
  <w:style w:type="paragraph" w:styleId="Caption">
    <w:name w:val="caption"/>
    <w:basedOn w:val="Normal"/>
    <w:qFormat/>
    <w:rsid w:val="008070da"/>
    <w:pPr>
      <w:suppressLineNumbers/>
      <w:spacing w:before="120" w:after="120"/>
    </w:pPr>
    <w:rPr>
      <w:rFonts w:cs="Mangal"/>
      <w:i/>
      <w:iCs/>
    </w:rPr>
  </w:style>
  <w:style w:type="paragraph" w:styleId="Corpodeltesto31" w:customStyle="1">
    <w:name w:val="Corpo del testo 31"/>
    <w:basedOn w:val="Normal"/>
    <w:qFormat/>
    <w:rsid w:val="008070da"/>
    <w:pPr>
      <w:tabs>
        <w:tab w:val="left" w:pos="8640" w:leader="none"/>
      </w:tabs>
      <w:spacing w:lineRule="auto" w:line="360"/>
    </w:pPr>
    <w:rPr>
      <w:b/>
      <w:bCs/>
      <w:sz w:val="20"/>
    </w:rPr>
  </w:style>
  <w:style w:type="paragraph" w:styleId="Rientrocorpodeltesto21" w:customStyle="1">
    <w:name w:val="Rientro corpo del testo 21"/>
    <w:basedOn w:val="Normal"/>
    <w:qFormat/>
    <w:rsid w:val="008070da"/>
    <w:pPr>
      <w:spacing w:lineRule="auto" w:line="360"/>
      <w:ind w:firstLine="709"/>
      <w:jc w:val="both"/>
    </w:pPr>
    <w:rPr/>
  </w:style>
  <w:style w:type="paragraph" w:styleId="Pidipagina">
    <w:name w:val="Footer"/>
    <w:basedOn w:val="Normal"/>
    <w:rsid w:val="008070da"/>
    <w:pPr>
      <w:tabs>
        <w:tab w:val="center" w:pos="4819" w:leader="none"/>
        <w:tab w:val="right" w:pos="9638" w:leader="none"/>
      </w:tabs>
    </w:pPr>
    <w:rPr/>
  </w:style>
  <w:style w:type="paragraph" w:styleId="NormalWeb">
    <w:name w:val="Normal (Web)"/>
    <w:basedOn w:val="Normal"/>
    <w:qFormat/>
    <w:rsid w:val="008070da"/>
    <w:pPr>
      <w:spacing w:before="100" w:after="100"/>
    </w:pPr>
    <w:rPr>
      <w:szCs w:val="20"/>
    </w:rPr>
  </w:style>
  <w:style w:type="paragraph" w:styleId="Footnotetext">
    <w:name w:val="footnote text"/>
    <w:basedOn w:val="Normal"/>
    <w:qFormat/>
    <w:rsid w:val="008070da"/>
    <w:pPr/>
    <w:rPr>
      <w:sz w:val="20"/>
      <w:szCs w:val="20"/>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Application>LibreOffice/5.2.5.1$Windows_x86 LibreOffice_project/0312e1a284a7d50ca85a365c316c7abbf20a4d22</Application>
  <Pages>3</Pages>
  <Words>830</Words>
  <Characters>4875</Characters>
  <CharactersWithSpaces>5684</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2018-06-21T06:54:00Z</dcterms:created>
  <dc:creator>CeglieP</dc:creator>
  <dc:description/>
  <dc:language>it-IT</dc:language>
  <cp:lastModifiedBy/>
  <cp:lastPrinted>2018-06-21T09:25:00Z</cp:lastPrinted>
  <dcterms:modified xsi:type="dcterms:W3CDTF">2018-07-04T08:48:48Z</dcterms:modified>
  <cp:revision>7</cp:revision>
  <dc:subject/>
  <dc:title>Scheda per la progettazione di dettaglio degli Interventi e dei Servizi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